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5672295E" w:rsidR="004B553E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8711CFE" w:rsidR="004B553E" w:rsidRPr="0017531F" w:rsidRDefault="0003045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68A1471" w:rsidR="004B553E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Dubrovačka Republika u vrijeme humanizma i renesanse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BAEDA41" w:rsidR="004B553E" w:rsidRPr="0017531F" w:rsidRDefault="00F7013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E43C7EF" w:rsidR="004B553E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diplomski sveučilišni studij povijesti (jednopredmetni i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6172B633" w:rsidR="004B553E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A547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A8CE9DC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39BD932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768B39B" w:rsidR="004B553E" w:rsidRPr="0017531F" w:rsidRDefault="006A547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2752446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0E44F4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2C784B01" w:rsidR="004B553E" w:rsidRPr="0017531F" w:rsidRDefault="006A547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3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1C4D94CF" w:rsidR="00393964" w:rsidRPr="0017531F" w:rsidRDefault="006A547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212CFB1" w:rsidR="00393964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6DB4ADF" w:rsidR="00393964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ED0BEF7" w:rsidR="00453362" w:rsidRPr="0017531F" w:rsidRDefault="0003045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93AC5C0" w:rsidR="00453362" w:rsidRPr="0017531F" w:rsidRDefault="0003045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EC11D2E" w:rsidR="00453362" w:rsidRPr="0017531F" w:rsidRDefault="0003045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2E3F8E8" w:rsidR="00453362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51896406" w:rsidR="00453362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920FDE8" w:rsidR="00453362" w:rsidRPr="00030458" w:rsidRDefault="000304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5519260" w:rsidR="00453362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5994BD2" w:rsidR="00453362" w:rsidRPr="00030458" w:rsidRDefault="0003045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6C3AAE1" w:rsidR="00453362" w:rsidRPr="00030458" w:rsidRDefault="0003045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</w:rPr>
              <w:t>N</w:t>
            </w:r>
            <w:r w:rsidRPr="00030458">
              <w:rPr>
                <w:rFonts w:ascii="Merriweather" w:hAnsi="Merriweather" w:cs="Times New Roman"/>
                <w:sz w:val="18"/>
              </w:rPr>
              <w:t>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7468F60" w:rsidR="00453362" w:rsidRPr="0017531F" w:rsidRDefault="0003045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E9B8A0A" w:rsidR="00030458" w:rsidRPr="0017531F" w:rsidRDefault="006A547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030458" w:rsidRPr="00FE453C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08795002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616457A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3D64AD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4CD00866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F3E1E3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0CA58EBD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23B4056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se osposobiti za prepoznavanje, analiziranje te interpretiranje temeljnih procesa društveno-političkih, gospodarskih, vjerskih i kulturoloških struktura Dubrovačke Republike na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razmeđi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kasnosrednjovjekovlja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i ranog novog vijeka;</w:t>
            </w:r>
          </w:p>
          <w:p w14:paraId="361FE10F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se upoznati s osnovnim teorijskim i metodološkim pretpostavkama za promišljanje problemskih sklopova u okviru komparativnog povijesnog pristupa;</w:t>
            </w:r>
          </w:p>
          <w:p w14:paraId="0009D0AD" w14:textId="77777777" w:rsidR="00030458" w:rsidRPr="00030458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uvažavajući sve plodonosne metodološke obrasce historijske znanosti,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se osposobiti za sagledavanje cjelovitosti povijesti dubrovačke države, kako u kontekstu velikih regija europske povijesti, tako i u kontekstu nacionalne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povijesnice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13972743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znati definirati, tumačiti te koristiti osnovne pojmove aktualne na prostoru Dubrovnika u razdoblju humanizma i renesanse te okolnih zemalja s kojima je grad ostvarivao kontakte </w:t>
            </w:r>
          </w:p>
          <w:p w14:paraId="186784A7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biti upoznati s opsežnom stručnom literaturom te će se osposobiti za vještine njezinog kritičkog vrednovanja</w:t>
            </w:r>
          </w:p>
          <w:p w14:paraId="5658A813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savladati temeljna znanja o povijesti i značaju jedne od ključnih civilizacija Mediterana u razdoblju kasnog srednjeg vijeka </w:t>
            </w:r>
          </w:p>
          <w:p w14:paraId="2234BD97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lastRenderedPageBreak/>
              <w:t>-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biti meritorni valorizirati i smjestiti Dubrovnik i njegovu bogatu srednjovjekovnu prošlost u kontekst okružja ostalih tada aktualnih civilizacija Sredozemlja </w:t>
            </w:r>
          </w:p>
          <w:p w14:paraId="13E2A08B" w14:textId="5C5A17C8" w:rsidR="00310F9A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- studenti/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će temeljito upoznati dalekosežnu i značajnu ulogu Venecije, Ugarske, Bosne i Huma, Osmanskog Carstva i njihovog utjecaja na dubrovačku prošlost u razdoblju humanizma i renesanse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3189257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20B2E5F4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A2C8D06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A2AC850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6539A8E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505CE5DE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16EB5CE7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5E57C8EE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8C44972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4D428556" w14:textId="77777777" w:rsidR="00030458" w:rsidRPr="00030458" w:rsidRDefault="00030458" w:rsidP="00030458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C0215CD" w14:textId="77777777" w:rsidR="00030458" w:rsidRPr="00030458" w:rsidRDefault="00030458" w:rsidP="00030458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470B1FFB" w14:textId="77777777" w:rsidR="00030458" w:rsidRPr="00030458" w:rsidRDefault="00030458" w:rsidP="00030458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10D6B71B" w14:textId="77777777" w:rsidR="00030458" w:rsidRPr="00030458" w:rsidRDefault="00030458" w:rsidP="00030458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83B2EE6" w14:textId="77777777" w:rsidR="00030458" w:rsidRPr="00030458" w:rsidRDefault="00030458" w:rsidP="00030458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03045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3182E7DA" w:rsidR="00310F9A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18DAA0C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6EFE32C2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6FF4C81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3DA225E1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15FABE8F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882FE4C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23A05E0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A4D329E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A547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76904D6" w:rsidR="00FC2198" w:rsidRPr="00030458" w:rsidRDefault="0003045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030458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ECC9A83" w:rsidR="00FC2198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A57C894" w:rsidR="00FC2198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F68C504" w:rsidR="00FC2198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0004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015B190D" w:rsidR="00FC2198" w:rsidRPr="0017531F" w:rsidRDefault="006A547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0004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030458" w:rsidRPr="0017531F" w14:paraId="1F1C7616" w14:textId="77777777" w:rsidTr="00066601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232A0C09" w14:textId="056E373C" w:rsidR="00030458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Kolegij uvodi studente/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ice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u poznavanje temeljnih procesa sazrijevanja političko-društvenih, gospodarskih, vjerskih i kulturoloških struktura Dubrovačke 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Republike koji će joj omogućiti njezin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veišestoljetni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opstanak u međunarodnoj zajednici. Navedeni će nastavni ciljevi biti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kontekstualizirani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usporednim primjerima unutar jadranskog i mediteranskog prostora. Izvan nastavnog vidokruga neće ostati reprezentativne teme koje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povijesnicu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tipične mediteranske republike nerazdvojno vežu uz povijest zemalja kopnenog joj okruženja. Dakle, pristup je karakteriziran osvještavanjem neophodnosti problemskog kritičkog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kontekstualiziranja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povijesti Dubrovačke Republike u okvirima velikih regija europske povijesti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kasnosrednjovjekovalja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i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ranomodernog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doba. Naravno, povijest Dubrovačke Republike biti će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kontekstualizirana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i u korpus nacionalne povijesti. Naglasiti je da uz u suvremenoj historiografiji naglašeno prisutnih metodoloških pristupa neće biti zanemareni ni plodonosni dosezi "tradicionalne" historiografije.</w:t>
            </w:r>
          </w:p>
        </w:tc>
      </w:tr>
      <w:tr w:rsidR="0003045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315BF079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1. Uvodno predavanje: upoznavanje s kolegijem - ciljevi, metode, izvori i literatura, studentska prava i obveze. Opis sadržaja nastavnih jedinica i načina njihove obrade. </w:t>
            </w:r>
          </w:p>
          <w:p w14:paraId="2F251D1D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upoznavanje studenata s ciljevima i zadacima seminarskog dijela nastave. Dodjela seminarskih tema i termina izlaganja</w:t>
            </w:r>
          </w:p>
          <w:p w14:paraId="3DDA9C21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2. Srednjovjekovni Dubrovnik: prostor </w:t>
            </w:r>
          </w:p>
          <w:p w14:paraId="06A4797B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ED50ED7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3. Političko uređenje,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ustojstvo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vlasti i izbor službenika u Dubrovačkoj Republici</w:t>
            </w:r>
          </w:p>
          <w:p w14:paraId="7EA73FEB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714C1746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4. Crkvene prilike (osnutak Dubrovačke biskupije, aktivni katolički crkveni redovi na prostoru grada, njihova uloga i značaj samostana, prisutnost drugih vjeroispovijesti, međureligijski odnosi i prožimanja)</w:t>
            </w:r>
          </w:p>
          <w:p w14:paraId="0F25D0D8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38C99E0D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5. Blagdani: državni i crkveni</w:t>
            </w:r>
          </w:p>
          <w:p w14:paraId="29C11950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FF4DB91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6. Društveni slojevi</w:t>
            </w:r>
          </w:p>
          <w:p w14:paraId="1F982AC9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2BAE2415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7. Veze Dubrovnika s okolnim zemljama</w:t>
            </w:r>
          </w:p>
          <w:p w14:paraId="52AB02E8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059B70DA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8. Agrarni odnosi </w:t>
            </w:r>
          </w:p>
          <w:p w14:paraId="37450442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DC12021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9. Trgovina</w:t>
            </w:r>
          </w:p>
          <w:p w14:paraId="24FA8F1F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3B5158ED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10. Obrti, bratovštine (strukovne i vjerske)</w:t>
            </w:r>
          </w:p>
          <w:p w14:paraId="3ACD4C92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70FF5A06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11. Diplomacija i odnosi sa susjedima</w:t>
            </w:r>
          </w:p>
          <w:p w14:paraId="0F2D81FB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5FE03FF1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12. Znameniti Dubrovčani </w:t>
            </w:r>
          </w:p>
          <w:p w14:paraId="3901DE83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17C218E4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13. Znanost, školstvo, graditeljstvo, umjetnost i kultura</w:t>
            </w:r>
          </w:p>
          <w:p w14:paraId="0C419961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4BA5DAB4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14. Širenje osmanskog imperija i povijesne mijene dubrovačkog identiteta</w:t>
            </w:r>
          </w:p>
          <w:p w14:paraId="34C41BA2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Seminar: izlaganje seminarskog rada. Obrada, komentiranje i rasprava 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relevantim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materijalima koje su studenti dobili za čitanje</w:t>
            </w:r>
          </w:p>
          <w:p w14:paraId="6264F36F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15. Ponavljanje i sinteza</w:t>
            </w:r>
          </w:p>
          <w:p w14:paraId="6E3A408E" w14:textId="6FDA1A61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03045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B872730" w14:textId="77777777" w:rsidR="00030458" w:rsidRPr="00030458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1. Vinko Foretić,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Povijest Dubrovnika do 1808.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I dio, Od osnutka do 1526, Zagreb, 1980.</w:t>
            </w:r>
          </w:p>
          <w:p w14:paraId="3AF75A78" w14:textId="77777777" w:rsidR="00030458" w:rsidRPr="00030458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2. Zdenka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Janeković-Römer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Okvir slobode: dubrovačka vlastela između srednjovjekovlja i humanizma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1999.</w:t>
            </w:r>
          </w:p>
          <w:p w14:paraId="3E567527" w14:textId="77777777" w:rsidR="00030458" w:rsidRPr="00030458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3. Bernard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Stulli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Povijest Dubrovačke Republike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Dubrovnik-Zagreb,1989.</w:t>
            </w:r>
          </w:p>
          <w:p w14:paraId="0B89B5BE" w14:textId="15D91E8E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4. Nenad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Vekarić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Nevidljive pukotine: Dubrovački vlasteoski klanovi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2009.</w:t>
            </w:r>
          </w:p>
        </w:tc>
      </w:tr>
      <w:tr w:rsidR="0003045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8953184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/>
                <w:sz w:val="18"/>
                <w:szCs w:val="18"/>
              </w:rPr>
              <w:t>1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Bariša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Krekić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.,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Urban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Society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Eastern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Europe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in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Premodern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Times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London, 1987. </w:t>
            </w:r>
          </w:p>
          <w:p w14:paraId="2E994223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2. Zdenka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Janeković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Romer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Višegradski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ugovor temelj Dubrovačke Republike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Zagreb, 2003. </w:t>
            </w:r>
          </w:p>
          <w:p w14:paraId="488B007F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3. Zdenko Zlatar,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Our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Kingdom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come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-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Counter-Reformation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Republic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Dubrovnik,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and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Liberation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of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the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Balkans</w:t>
            </w:r>
            <w:proofErr w:type="spellEnd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Slavs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New York, 1992. </w:t>
            </w:r>
          </w:p>
          <w:p w14:paraId="179EE26E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4. Vesna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Miović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Perić,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Židovski geto u Dubrovačkoj Republici (1546-1808)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Zagreb-Dubrovnik, 2005. </w:t>
            </w:r>
          </w:p>
          <w:p w14:paraId="456144B7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5. Vesna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Miović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Perić,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Na razmeđu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Zagreb-Dubrovnik, 1997. </w:t>
            </w:r>
          </w:p>
          <w:p w14:paraId="3F960782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6. Vesna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Miović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Dubrovačka diplomacija u Istambulu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2003.</w:t>
            </w:r>
          </w:p>
          <w:p w14:paraId="79AAD6B2" w14:textId="77777777" w:rsidR="00030458" w:rsidRPr="00030458" w:rsidRDefault="00030458" w:rsidP="00030458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7. Ivica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Prlender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Srednjovjekovni Dubrovnik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Zagreb, 2013.</w:t>
            </w:r>
          </w:p>
          <w:p w14:paraId="29FB6E04" w14:textId="77777777" w:rsidR="00030458" w:rsidRPr="00030458" w:rsidRDefault="00030458" w:rsidP="00030458">
            <w:pPr>
              <w:pStyle w:val="FootnoteText"/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proofErr w:type="spellStart"/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>Robin</w:t>
            </w:r>
            <w:proofErr w:type="spellEnd"/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>Harris</w:t>
            </w:r>
            <w:proofErr w:type="spellEnd"/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Dubrovnika</w:t>
            </w:r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2006. </w:t>
            </w:r>
          </w:p>
          <w:p w14:paraId="2DB852F7" w14:textId="77777777" w:rsidR="00030458" w:rsidRPr="00030458" w:rsidRDefault="00030458" w:rsidP="00030458">
            <w:pPr>
              <w:pStyle w:val="NoSpacing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030458">
              <w:rPr>
                <w:rFonts w:ascii="Merriweather" w:hAnsi="Merriweather"/>
                <w:bCs/>
                <w:sz w:val="18"/>
                <w:szCs w:val="18"/>
              </w:rPr>
              <w:t xml:space="preserve">9. </w:t>
            </w:r>
            <w:proofErr w:type="spellStart"/>
            <w:r w:rsidRPr="00030458">
              <w:rPr>
                <w:rFonts w:ascii="Merriweather" w:hAnsi="Merriweather"/>
                <w:bCs/>
                <w:sz w:val="18"/>
                <w:szCs w:val="18"/>
              </w:rPr>
              <w:t>Bariša</w:t>
            </w:r>
            <w:proofErr w:type="spellEnd"/>
            <w:r w:rsidRPr="00030458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/>
                <w:sz w:val="18"/>
                <w:szCs w:val="18"/>
              </w:rPr>
              <w:t>Krekić</w:t>
            </w:r>
            <w:proofErr w:type="spellEnd"/>
            <w:r w:rsidRPr="00030458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/>
                <w:i/>
                <w:sz w:val="18"/>
                <w:szCs w:val="18"/>
              </w:rPr>
              <w:t xml:space="preserve">Dubrovnik </w:t>
            </w:r>
            <w:proofErr w:type="spellStart"/>
            <w:r w:rsidRPr="00030458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030458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030458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030458">
              <w:rPr>
                <w:rFonts w:ascii="Merriweather" w:hAnsi="Merriweather"/>
                <w:i/>
                <w:sz w:val="18"/>
                <w:szCs w:val="18"/>
              </w:rPr>
              <w:t xml:space="preserve"> 14th </w:t>
            </w:r>
            <w:proofErr w:type="spellStart"/>
            <w:r w:rsidRPr="00030458">
              <w:rPr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030458">
              <w:rPr>
                <w:rFonts w:ascii="Merriweather" w:hAnsi="Merriweather"/>
                <w:i/>
                <w:sz w:val="18"/>
                <w:szCs w:val="18"/>
              </w:rPr>
              <w:t xml:space="preserve"> 15th </w:t>
            </w:r>
            <w:proofErr w:type="spellStart"/>
            <w:r w:rsidRPr="00030458">
              <w:rPr>
                <w:rFonts w:ascii="Merriweather" w:hAnsi="Merriweather"/>
                <w:i/>
                <w:sz w:val="18"/>
                <w:szCs w:val="18"/>
              </w:rPr>
              <w:t>centuries</w:t>
            </w:r>
            <w:proofErr w:type="spellEnd"/>
            <w:r w:rsidRPr="00030458">
              <w:rPr>
                <w:rFonts w:ascii="Merriweather" w:hAnsi="Merriweather"/>
                <w:i/>
                <w:sz w:val="18"/>
                <w:szCs w:val="18"/>
              </w:rPr>
              <w:t xml:space="preserve">: A City </w:t>
            </w:r>
            <w:proofErr w:type="spellStart"/>
            <w:r w:rsidRPr="00030458">
              <w:rPr>
                <w:rFonts w:ascii="Merriweather" w:hAnsi="Merriweather"/>
                <w:i/>
                <w:sz w:val="18"/>
                <w:szCs w:val="18"/>
              </w:rPr>
              <w:t>between</w:t>
            </w:r>
            <w:proofErr w:type="spellEnd"/>
            <w:r w:rsidRPr="00030458">
              <w:rPr>
                <w:rFonts w:ascii="Merriweather" w:hAnsi="Merriweather"/>
                <w:i/>
                <w:sz w:val="18"/>
                <w:szCs w:val="18"/>
              </w:rPr>
              <w:t xml:space="preserve"> East </w:t>
            </w:r>
            <w:proofErr w:type="spellStart"/>
            <w:r w:rsidRPr="00030458">
              <w:rPr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030458">
              <w:rPr>
                <w:rFonts w:ascii="Merriweather" w:hAnsi="Merriweather"/>
                <w:i/>
                <w:sz w:val="18"/>
                <w:szCs w:val="18"/>
              </w:rPr>
              <w:t xml:space="preserve"> West</w:t>
            </w:r>
            <w:r w:rsidRPr="00030458">
              <w:rPr>
                <w:rFonts w:ascii="Merriweather" w:hAnsi="Merriweather"/>
                <w:sz w:val="18"/>
                <w:szCs w:val="18"/>
              </w:rPr>
              <w:t>, Norman, 1972.</w:t>
            </w:r>
          </w:p>
          <w:p w14:paraId="13539A76" w14:textId="77777777" w:rsidR="00030458" w:rsidRPr="00030458" w:rsidRDefault="00030458" w:rsidP="00030458">
            <w:pPr>
              <w:pStyle w:val="FootnoteText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10. 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Lovro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Kunčević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Mit o Dubrovniku: diskursi o identitetu renesansnog Grada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2015.</w:t>
            </w:r>
          </w:p>
          <w:p w14:paraId="09595459" w14:textId="77777777" w:rsidR="00030458" w:rsidRPr="00030458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11.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Jorjo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 Tadić,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Promet putnika u starom Dubrovniku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Dubrovnik, 1939.</w:t>
            </w:r>
          </w:p>
          <w:p w14:paraId="63D07860" w14:textId="430585A4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12. Nenad </w:t>
            </w:r>
            <w:proofErr w:type="spellStart"/>
            <w:r w:rsidRPr="00030458">
              <w:rPr>
                <w:rFonts w:ascii="Merriweather" w:hAnsi="Merriweather" w:cs="Times New Roman"/>
                <w:sz w:val="18"/>
                <w:szCs w:val="18"/>
              </w:rPr>
              <w:t>Vekarić</w:t>
            </w:r>
            <w:proofErr w:type="spellEnd"/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030458">
              <w:rPr>
                <w:rFonts w:ascii="Merriweather" w:hAnsi="Merriweather" w:cs="Times New Roman"/>
                <w:i/>
                <w:sz w:val="18"/>
                <w:szCs w:val="18"/>
              </w:rPr>
              <w:t>Nevidljive pukotine: Dubrovački vlasteoski klanovi</w:t>
            </w:r>
            <w:r w:rsidRPr="00030458">
              <w:rPr>
                <w:rFonts w:ascii="Merriweather" w:hAnsi="Merriweather" w:cs="Times New Roman"/>
                <w:sz w:val="18"/>
                <w:szCs w:val="18"/>
              </w:rPr>
              <w:t>, Zagreb-Dubrovnik, 2009.</w:t>
            </w:r>
          </w:p>
        </w:tc>
      </w:tr>
      <w:tr w:rsidR="0003045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30458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030458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030458" w:rsidRPr="0017531F" w:rsidRDefault="00030458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030458" w:rsidRPr="0017531F" w:rsidRDefault="00030458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030458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030458" w:rsidRPr="0017531F" w:rsidRDefault="00030458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B5717B6" w:rsidR="00030458" w:rsidRPr="0017531F" w:rsidRDefault="006A5476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030458" w:rsidRPr="0017531F" w:rsidRDefault="00030458" w:rsidP="0003045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030458" w:rsidRPr="0017531F" w:rsidRDefault="006A5476" w:rsidP="0003045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030458" w:rsidRPr="0017531F" w:rsidRDefault="006A5476" w:rsidP="0003045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30458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03045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0FC8D62" w14:textId="77777777" w:rsidR="00030458" w:rsidRPr="00030458" w:rsidRDefault="00030458" w:rsidP="0003045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14:paraId="73C8ABCF" w14:textId="77777777" w:rsidR="00030458" w:rsidRPr="00030458" w:rsidRDefault="00030458" w:rsidP="00030458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>U slučaju neispunjavanja neke od obaveza studentu/</w:t>
            </w:r>
            <w:proofErr w:type="spellStart"/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>ici</w:t>
            </w:r>
            <w:proofErr w:type="spellEnd"/>
            <w:r w:rsidRPr="00030458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neće biti dozvoljeno pristupanje završnom ispitu i ostvarivanje zaključne ocjene. </w:t>
            </w:r>
          </w:p>
          <w:p w14:paraId="646F7F3F" w14:textId="747421C7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8"/>
                <w:szCs w:val="18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03045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3C34553" w:rsidR="00030458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3045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5473573" w:rsidR="00030458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3045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7DA74BD" w:rsidR="00030458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3045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2BD4929" w:rsidR="00030458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3045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2AC5CD8" w:rsidR="00030458" w:rsidRPr="00030458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30458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03045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030458" w:rsidRPr="0017531F" w:rsidRDefault="006A5476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030458" w:rsidRPr="0017531F" w:rsidRDefault="006A5476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030458" w:rsidRPr="0017531F" w:rsidRDefault="006A5476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030458" w:rsidRPr="0017531F" w:rsidRDefault="006A5476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030458" w:rsidRPr="0017531F" w:rsidRDefault="006A5476" w:rsidP="000304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45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3045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03045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030458" w:rsidRPr="0017531F" w:rsidRDefault="00030458" w:rsidP="0003045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030458" w:rsidRPr="0017531F" w:rsidRDefault="00030458" w:rsidP="0003045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2A22" w14:textId="77777777" w:rsidR="006A5476" w:rsidRDefault="006A5476" w:rsidP="009947BA">
      <w:pPr>
        <w:spacing w:before="0" w:after="0"/>
      </w:pPr>
      <w:r>
        <w:separator/>
      </w:r>
    </w:p>
  </w:endnote>
  <w:endnote w:type="continuationSeparator" w:id="0">
    <w:p w14:paraId="59696CD3" w14:textId="77777777" w:rsidR="006A5476" w:rsidRDefault="006A547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B5A5F" w14:textId="77777777" w:rsidR="006A5476" w:rsidRDefault="006A5476" w:rsidP="009947BA">
      <w:pPr>
        <w:spacing w:before="0" w:after="0"/>
      </w:pPr>
      <w:r>
        <w:separator/>
      </w:r>
    </w:p>
  </w:footnote>
  <w:footnote w:type="continuationSeparator" w:id="0">
    <w:p w14:paraId="66C59617" w14:textId="77777777" w:rsidR="006A5476" w:rsidRDefault="006A547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30458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02BCC"/>
    <w:rsid w:val="00621D8C"/>
    <w:rsid w:val="0062328F"/>
    <w:rsid w:val="00684BBC"/>
    <w:rsid w:val="006A5476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4548"/>
    <w:rsid w:val="007D4D2D"/>
    <w:rsid w:val="008336F0"/>
    <w:rsid w:val="00865776"/>
    <w:rsid w:val="00874D5D"/>
    <w:rsid w:val="00891C60"/>
    <w:rsid w:val="008942F0"/>
    <w:rsid w:val="008D0801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7E0"/>
    <w:rsid w:val="009E2FD4"/>
    <w:rsid w:val="00A06750"/>
    <w:rsid w:val="00A9132B"/>
    <w:rsid w:val="00AA1A5A"/>
    <w:rsid w:val="00AB46BD"/>
    <w:rsid w:val="00AD23FB"/>
    <w:rsid w:val="00B00048"/>
    <w:rsid w:val="00B71A57"/>
    <w:rsid w:val="00B7307A"/>
    <w:rsid w:val="00BD600D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0131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3045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link w:val="NoSpacingChar"/>
    <w:qFormat/>
    <w:rsid w:val="00030458"/>
    <w:pPr>
      <w:spacing w:before="0" w:after="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0304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DCD9C-7B0E-4450-A1F9-E09FF42C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2022-09-12T11:20:00Z</dcterms:created>
  <dcterms:modified xsi:type="dcterms:W3CDTF">2022-09-12T11:57:00Z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