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5AAC26E2" w:rsidR="004B553E" w:rsidRPr="004E7886" w:rsidRDefault="004E788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43CDDC6" w:rsidR="004B553E" w:rsidRPr="0017531F" w:rsidRDefault="004E788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95C8857" w:rsidR="004B553E" w:rsidRPr="004E7886" w:rsidRDefault="004E788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Glagoljaška baština u znanstvenoj literaturi i nastavi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F39A5EB" w:rsidR="004B553E" w:rsidRPr="0017531F" w:rsidRDefault="004E788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E91ECE4" w:rsidR="004B553E" w:rsidRPr="004E7886" w:rsidRDefault="004E788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Diplomski studij povijesti (jednopredmetni i dvopredmetni)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09F4EACD" w:rsidR="004B553E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980BB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4990CEF" w:rsidR="004B553E" w:rsidRPr="0017531F" w:rsidRDefault="00980B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980B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980B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980B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980B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BCE672C" w:rsidR="004B553E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980BB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980B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980B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980B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980B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980B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980B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4F931092" w:rsidR="00393964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980BB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1DE8D1CE" w:rsidR="00393964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E9CC2F7" w:rsidR="00453362" w:rsidRPr="0017531F" w:rsidRDefault="004E788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EF03A32" w:rsidR="00453362" w:rsidRPr="0017531F" w:rsidRDefault="004E788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0F58067" w:rsidR="00453362" w:rsidRPr="0017531F" w:rsidRDefault="004E788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2D3C224" w:rsidR="00453362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52282C8" w:rsidR="00453362" w:rsidRPr="004E7886" w:rsidRDefault="004E788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0CBCA73" w:rsidR="00453362" w:rsidRPr="004E7886" w:rsidRDefault="004E788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7F1AFE6" w:rsidR="00453362" w:rsidRPr="004E7886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D05AB56" w:rsidR="00453362" w:rsidRPr="004E7886" w:rsidRDefault="004E788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C948296" w:rsidR="00453362" w:rsidRPr="004E7886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Nema posebnih uvjeta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54BF35F" w:rsidR="00453362" w:rsidRPr="004E7886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Prof. dr. sc. Kristijan Juran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61AA8A9" w:rsidR="004E7886" w:rsidRPr="004E7886" w:rsidRDefault="00980B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4E7886" w:rsidRPr="004E7886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51632DC0" w:rsidR="00453362" w:rsidRPr="0017531F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Prof. dr. sc. Kristijan Juran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DF947D4" w:rsidR="00453362" w:rsidRPr="0017531F" w:rsidRDefault="00980B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4E7886" w:rsidRPr="004E7886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A1F4D14" w:rsidR="00453362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58A4BA3" w:rsidR="00453362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25CD3324" w:rsidR="00453362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75F2887" w14:textId="77777777" w:rsidR="004E7886" w:rsidRPr="004E7886" w:rsidRDefault="004E7886" w:rsidP="004E7886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  <w:r w:rsidRPr="004E7886">
              <w:rPr>
                <w:rFonts w:ascii="Merriweather" w:hAnsi="Merriweather"/>
                <w:sz w:val="18"/>
                <w:szCs w:val="18"/>
              </w:rPr>
              <w:t>Studenti će biti osposobljeni:</w:t>
            </w:r>
          </w:p>
          <w:p w14:paraId="28A2A37A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- pojasniti ulogu i važnost glagoljice i hrvatske ćirilice u hrvatskoj povijesti i kulturi</w:t>
            </w:r>
          </w:p>
          <w:p w14:paraId="02665066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- navesti i međusobno usporediti najvažniju znanstvenu literaturu o hrvatskoj glagoljaškoj baštini</w:t>
            </w:r>
          </w:p>
          <w:p w14:paraId="2A26FAB3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- prepoznati arhivska vrela pisana glagoljicom i hrvatskom ćirilicom</w:t>
            </w:r>
          </w:p>
          <w:p w14:paraId="346C6DDC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- opisati vrste glagoljičnih i ćiriličnih povijesnih vrela za proučavanje hrvatske ranonovovjekovne povijesti</w:t>
            </w:r>
          </w:p>
          <w:p w14:paraId="13E2A08B" w14:textId="3EBF70AE" w:rsidR="00310F9A" w:rsidRPr="0017531F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- pripremiti seminarski rad u obliku nastave s definiranim ciljevima, zaključkom i ključnim pojmovima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0D7BAAE" w14:textId="77777777" w:rsidR="004E7886" w:rsidRPr="004E7886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Studenti će biti osposobljeni:</w:t>
            </w:r>
          </w:p>
          <w:p w14:paraId="0F2175D6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protumačiti, usporediti, analizirati, povezati i kritički vrednovati povijesne događaje, ključne osobe, procese i ključne osobe,</w:t>
            </w:r>
          </w:p>
          <w:p w14:paraId="11B2574E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samostalno uspostavljati uzročno-posljedične veze između povijesnih događaja i povijesnih procesa,</w:t>
            </w:r>
          </w:p>
          <w:p w14:paraId="2F876DCB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interpretirati, usporediti,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vrednovati  i primjenjivati različite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>historiografske metodologije,</w:t>
            </w:r>
          </w:p>
          <w:p w14:paraId="798BCA93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lastRenderedPageBreak/>
              <w:t>– primijeniti specifična znanja i vještine potrebne za proučavanje dokumenata iz određenog razdoblja (npr. paleografija, epigrafija, uporaba starih jezika i pisama itd.),</w:t>
            </w:r>
          </w:p>
          <w:p w14:paraId="02E774B3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04749DEB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analizirati i prosuditi vrijednost suprotstavljenih narativa i dokaza,</w:t>
            </w:r>
          </w:p>
          <w:p w14:paraId="08DAFE45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formulirati i braniti određenu tezu,</w:t>
            </w:r>
          </w:p>
          <w:p w14:paraId="54594285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>samostalno istraživati i analizirati razne vrste povijesne građe,</w:t>
            </w:r>
          </w:p>
          <w:p w14:paraId="7F59D25D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33E8423B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napisati jasan i koherentan rad u kojemu se dokazuje i/ili opovrgava određena teza o odabranom historiografskom pitanju ili problemu, </w:t>
            </w:r>
          </w:p>
          <w:p w14:paraId="7041A26E" w14:textId="77777777" w:rsidR="004E7886" w:rsidRPr="004E7886" w:rsidRDefault="004E7886" w:rsidP="004E7886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objasniti didaktičke teorije i modele te ih primijeniti u nastavi povijesti,</w:t>
            </w:r>
          </w:p>
          <w:p w14:paraId="21013D5D" w14:textId="77777777" w:rsidR="004E7886" w:rsidRPr="004E7886" w:rsidRDefault="004E7886" w:rsidP="004E7886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planirati, pripremati i izvoditi nastavu povijesti u osnovnoj i srednjoj školi,</w:t>
            </w:r>
          </w:p>
          <w:p w14:paraId="479BE5BD" w14:textId="77777777" w:rsidR="004E7886" w:rsidRPr="004E7886" w:rsidRDefault="004E7886" w:rsidP="004E7886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14:paraId="42C94C0B" w14:textId="77777777" w:rsidR="004E7886" w:rsidRPr="004E7886" w:rsidRDefault="004E7886" w:rsidP="004E7886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3F77074E" w:rsidR="00310F9A" w:rsidRPr="0017531F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E7886">
              <w:rPr>
                <w:rFonts w:ascii="Merriweather" w:hAnsi="Merriweather"/>
                <w:noProof/>
                <w:sz w:val="18"/>
                <w:szCs w:val="18"/>
              </w:rPr>
              <w:t xml:space="preserve">– </w:t>
            </w:r>
            <w:r w:rsidRPr="004E7886">
              <w:rPr>
                <w:rFonts w:ascii="Merriweather" w:eastAsia="Times New Roman" w:hAnsi="Merriweather"/>
                <w:noProof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9BEF172" w:rsidR="00FC2198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5EF058D8" w:rsidR="00FC2198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5535505A" w:rsidR="00FC2198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14551B7" w:rsidR="00FC2198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E07A615" w:rsidR="00FC2198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357C645" w:rsidR="00FC2198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980B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147A6846" w:rsidR="00FC2198" w:rsidRPr="004E7886" w:rsidRDefault="004E78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4E7886">
              <w:rPr>
                <w:rFonts w:ascii="Merriweather" w:eastAsia="MS Gothic" w:hAnsi="Merriweather" w:cs="Times New Roman"/>
                <w:sz w:val="18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69F6CD19" w:rsidR="00FC2198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2F59040" w:rsidR="00FC2198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4673D2B7" w:rsidR="00FC2198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865C6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01C14CF5" w:rsidR="00FC2198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865C6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5EF3A77D" w:rsidR="00FC2198" w:rsidRPr="004E7886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E7886">
              <w:rPr>
                <w:rStyle w:val="googqs-tidbit"/>
                <w:rFonts w:ascii="Merriweather" w:hAnsi="Merriweather"/>
                <w:sz w:val="18"/>
                <w:szCs w:val="18"/>
              </w:rPr>
              <w:t>Četiri su temeljna cilja kolegija: 1) upoznati studente s glagoljaškom baštinom te njezinim statusom, kao i statusom glagoljice i hrvatske ćirilice, u recentnoj hrvatskoj znanstvenoj, kulturnoj i općoj javnosti; 2) upoznati studente s temeljnom literaturom, posebice historiografskom, koja se bavi hrvatskom glagoljaškom baštinom; 3) uputiti i poticati studente na samostalna istraživanja glagoljičnih i ćiriličnih povijesnih vrela iz 16. – 18. stoljeća; 4) osposobiti studente da seminarske radove – tematski usmjerene na pojedina poglavlja iz povijesti hrvatskoga glagoljaštva ili objavljene glagoljične/ćirilične spomenike – osmisle u obliku nastave s definiranim ciljevima, zaključkom i ključnim pojmovima.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F58BE9D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Napomena: prvi je kvartal predviđen za predavanja, a drugi za seminare.</w:t>
            </w: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Hodogram je podložan promjenama, ovisno o mogućnostima odlaska na terensku nastavu i broju studenata odnosno seminarskih radova.</w:t>
            </w:r>
          </w:p>
          <w:p w14:paraId="6A95867E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1. tjedan:</w:t>
            </w:r>
          </w:p>
          <w:p w14:paraId="05557A7A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: O postanku glagoljice i ćirilice i povijesni pregled hrvatskoga glagoljaštva. (1. sat) </w:t>
            </w:r>
          </w:p>
          <w:p w14:paraId="3B48409C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Plan izvođenja i upute za izradu seminara.</w:t>
            </w:r>
          </w:p>
          <w:p w14:paraId="5DE3738B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tjedan: </w:t>
            </w:r>
          </w:p>
          <w:p w14:paraId="79D47149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4E7886">
              <w:rPr>
                <w:rStyle w:val="googqs-tidbit"/>
                <w:rFonts w:ascii="Merriweather" w:hAnsi="Merriweather"/>
                <w:sz w:val="18"/>
                <w:szCs w:val="18"/>
              </w:rPr>
              <w:t>Glagoljaštvo u hrvatskoj historiografiji i drugoj znanstvenoj literaturi.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 (2.-3. sat)</w:t>
            </w:r>
          </w:p>
          <w:p w14:paraId="7CA4C4EF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3. tjedan:</w:t>
            </w:r>
          </w:p>
          <w:p w14:paraId="5824101D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4E7886">
              <w:rPr>
                <w:rStyle w:val="googqs-tidbit"/>
                <w:rFonts w:ascii="Merriweather" w:hAnsi="Merriweather"/>
                <w:sz w:val="18"/>
                <w:szCs w:val="18"/>
              </w:rPr>
              <w:t>Status glagoljice i hrvatske ćirilice u recentnoj hrvatskoj znanstvenoj, kulturnoj i općoj javnosti. Glagoljica i glagoljaštvo u suvremenoj hrvatskoj nastavi povijesti od osnovnoga do visokog školstva. (4.-5. sat)</w:t>
            </w:r>
          </w:p>
          <w:p w14:paraId="7A8B1C25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</w:p>
          <w:p w14:paraId="45C3C20F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: Povijesni kontekst najvažnijih srednjovjekovnih glagoljičnih i ćiriličnih spomenika (Bašćanska ploča, Povaljska listina, Vinodolski zakon, Istarski razvod, Poljički statut, Novakov misal...). Zlatno doba hrvatskoga glagoljaštva u 14. i 15. stoljeću. Glagoljaštvo u ranom novom vijeku, s posebnim osvrtom na povijesno-pravne i povijesno-demografske spomenike. (6.-7. sat)</w:t>
            </w:r>
          </w:p>
          <w:p w14:paraId="01F894CA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3870CCF8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: Opis, analiza odabranih primjera i mogućnosti istraživanja povijesnih izvora pisanih glagoljicom i ćirilicom u razdoblju 16. – 18. stoljeća: bilježnički ugovori i javno-pravne isprave (8.-9. sat)</w:t>
            </w:r>
          </w:p>
          <w:p w14:paraId="5A7419CA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</w:p>
          <w:p w14:paraId="330E471B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: Opis, analiza odabranih primjera i mogućnosti istraživanja povijesnih izvora pisanih glagoljicom i ćirilicom u razdoblju 16. – 18. stoljeća: matične knjige i crkvena korespondencija (10.-11. sat)</w:t>
            </w:r>
          </w:p>
          <w:p w14:paraId="45CA9FCA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</w:p>
          <w:p w14:paraId="0960DF14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: Opis, analiza odabranih primjera i mogućnosti istraživanja povijesnih izvora pisanih glagoljicom i ćirilicom u razdoblju 16. – 18. stoljeća: oporuke i matrikule bratovština (12.-13. sat)</w:t>
            </w:r>
          </w:p>
          <w:p w14:paraId="645ABBCF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tjedan: </w:t>
            </w:r>
          </w:p>
          <w:p w14:paraId="07E3E139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: Glagoljica i hrvatska ćirilica u Državnom arhivu u Zadru i/ili Stalnoj izložbi crkvene umjetnosti u Zadru – terenska nastava (14.-15. sat)</w:t>
            </w:r>
          </w:p>
          <w:p w14:paraId="6E3A408E" w14:textId="68AE98BC" w:rsidR="00FC2198" w:rsidRPr="0017531F" w:rsidRDefault="004E788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9. – 15. tjedan: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izlaganja seminarskih radova, komentari i rasprava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C116C1B" w14:textId="77777777" w:rsidR="004E7886" w:rsidRPr="004E7886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Draganić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Biserka, Glagoljično pismo i hrvatska glagoljaška baština u odgojno-obrazovnome sustavu Republike Hrvatske,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Hrvatski jezik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vol. 4, br. 1, Zagreb, 2017, 14-20.</w:t>
            </w:r>
          </w:p>
          <w:p w14:paraId="236D2D43" w14:textId="77777777" w:rsidR="004E7886" w:rsidRPr="004E7886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Hercigonja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Eduard,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Tisućljeće hrvatskoga glagoljaštva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Zagreb, 2009. (odabrana poglavlja)</w:t>
            </w:r>
          </w:p>
          <w:p w14:paraId="0B89B5BE" w14:textId="2E6E3AEF" w:rsidR="00FC2198" w:rsidRPr="0017531F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Nazor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Anica,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Knjiga o hrvatskoj glagoljici. „Ja slovo znajući govorim“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Erasmus naklada, Zagreb, 2008.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9B211A5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 xml:space="preserve">Botica,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Ivan</w:t>
            </w: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 xml:space="preserve"> – Galović,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Tomislav</w:t>
            </w: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 xml:space="preserve">,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Hrvatskoglagoljski notarijat u europskom kontekstu, u: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Hrvatsko glagoljaštvo u europskom okružju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Staroslavenski institut, Zagreb, 2015, 115-143. </w:t>
            </w:r>
          </w:p>
          <w:p w14:paraId="7F5BC4AC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Bratulić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Josip, Školovanje i obrazovanje glagoljaša,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Senjski zbornik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41, Senj, 2014, 461-464.</w:t>
            </w:r>
          </w:p>
          <w:p w14:paraId="7E95039A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Damjanović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Stjepan,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Slovo iskona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Zagreb, III. Izdanje, 2002. </w:t>
            </w:r>
          </w:p>
          <w:p w14:paraId="35B8145F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Fučić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Branko,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Glagoljski natpisi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Zagreb, 1982.</w:t>
            </w:r>
          </w:p>
          <w:p w14:paraId="71F249DD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Kapetanić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Niko – </w:t>
            </w: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Žagar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Mateo, Najjužniji hrvatski glagoljski natpis,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Anali Zavoda za povijesne znanosti HAZU u Dubrovniku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39, Dubrovnik, 2001, 9-48.</w:t>
            </w:r>
          </w:p>
          <w:p w14:paraId="77089CD1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Nazor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Anica,  Prožimanje glagoljice i ćirilice na hrvatskom prostoru,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Hrvatska i Europa II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Zagreb, 2000, 289-297.</w:t>
            </w:r>
          </w:p>
          <w:p w14:paraId="2074EFBE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Runje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Petar,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Glagoljica u zadarskoj nadbiskupiji u srednjem vijeku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Gradska knjižnica Zadar, 2005.</w:t>
            </w:r>
          </w:p>
          <w:p w14:paraId="411E2291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Šupuk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Ante,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Šibenski glagoljski spomenici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JAZU, Zagreb, 1957.</w:t>
            </w:r>
          </w:p>
          <w:p w14:paraId="3C20E6A6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Vlahov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Dražen,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Matica krštenih župe Lindar (1591.-1667.). Glagoljski zapisi od 1591. do 1648.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Državni arhiv u Pazinu, 2012.</w:t>
            </w:r>
          </w:p>
          <w:p w14:paraId="63D07860" w14:textId="553D3D34" w:rsidR="00FC2198" w:rsidRPr="0017531F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Žagar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Mateo,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Kako je tkan tekst Bašćanske ploče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Zagreb, 1997.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980B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980B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980B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pismeni i usmeni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980B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praktični rad i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980B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980B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980B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6F424E0F" w:rsidR="00B71A57" w:rsidRPr="0017531F" w:rsidRDefault="00980B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980BB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980BB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BEA8FC0" w:rsidR="00FC2198" w:rsidRPr="0017531F" w:rsidRDefault="004E788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100 </w:t>
            </w:r>
            <w:r w:rsidR="00FC219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5A80A4A" w:rsidR="00FC2198" w:rsidRPr="0017531F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A9FAA19" w:rsidR="00FC2198" w:rsidRPr="0017531F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50-62%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A4D6C87" w:rsidR="00FC2198" w:rsidRPr="0017531F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63-79%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749632A" w:rsidR="00FC2198" w:rsidRPr="0017531F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80-91%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56E2039" w:rsidR="00FC2198" w:rsidRPr="0017531F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92-100%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980B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34B478B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  <w:bookmarkStart w:id="0" w:name="_GoBack"/>
            <w:bookmarkEnd w:id="0"/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54491" w14:textId="77777777" w:rsidR="00980BB0" w:rsidRDefault="00980BB0" w:rsidP="009947BA">
      <w:pPr>
        <w:spacing w:before="0" w:after="0"/>
      </w:pPr>
      <w:r>
        <w:separator/>
      </w:r>
    </w:p>
  </w:endnote>
  <w:endnote w:type="continuationSeparator" w:id="0">
    <w:p w14:paraId="0F67990E" w14:textId="77777777" w:rsidR="00980BB0" w:rsidRDefault="00980BB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B9F22" w14:textId="77777777" w:rsidR="00980BB0" w:rsidRDefault="00980BB0" w:rsidP="009947BA">
      <w:pPr>
        <w:spacing w:before="0" w:after="0"/>
      </w:pPr>
      <w:r>
        <w:separator/>
      </w:r>
    </w:p>
  </w:footnote>
  <w:footnote w:type="continuationSeparator" w:id="0">
    <w:p w14:paraId="61BD1907" w14:textId="77777777" w:rsidR="00980BB0" w:rsidRDefault="00980BB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37326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E7886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44AE6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65C68"/>
    <w:rsid w:val="00874D5D"/>
    <w:rsid w:val="00891C60"/>
    <w:rsid w:val="008942F0"/>
    <w:rsid w:val="008D45DB"/>
    <w:rsid w:val="0090214F"/>
    <w:rsid w:val="009163E6"/>
    <w:rsid w:val="00950C63"/>
    <w:rsid w:val="00951493"/>
    <w:rsid w:val="009664FC"/>
    <w:rsid w:val="009760E8"/>
    <w:rsid w:val="00980BB0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20DA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E78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E788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googqs-tidbit">
    <w:name w:val="goog_qs-tidbit"/>
    <w:rsid w:val="004E78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juran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kjuran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95D53-2CA9-448F-B52D-8E02A561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5</cp:revision>
  <cp:lastPrinted>2021-02-12T11:27:00Z</cp:lastPrinted>
  <dcterms:created xsi:type="dcterms:W3CDTF">2022-09-12T10:36:00Z</dcterms:created>
  <dcterms:modified xsi:type="dcterms:W3CDTF">2022-09-12T10:49:00Z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