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374B74D8" w:rsidR="004B553E" w:rsidRPr="0033185F" w:rsidRDefault="00E8408E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3185F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2661B946" w:rsidR="004B553E" w:rsidRPr="0017531F" w:rsidRDefault="00E8408E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DF1829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DF1829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4820C0B7" w:rsidR="004B553E" w:rsidRPr="0033185F" w:rsidRDefault="00E8408E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3185F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>Povijest Hrvata u ranom srednjem vijeku 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6CD412AA" w:rsidR="004B553E" w:rsidRPr="0033185F" w:rsidRDefault="00E8408E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33185F">
              <w:rPr>
                <w:rFonts w:ascii="Merriweather" w:hAnsi="Merriweather" w:cs="Times New Roman"/>
                <w:sz w:val="18"/>
                <w:szCs w:val="18"/>
              </w:rPr>
              <w:t>5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6DDAC33D" w:rsidR="004B553E" w:rsidRPr="00E8408E" w:rsidRDefault="00AB02BD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S</w:t>
            </w:r>
            <w:r w:rsidR="00E8408E" w:rsidRPr="00E8408E">
              <w:rPr>
                <w:rFonts w:ascii="Merriweather" w:hAnsi="Merriweather" w:cs="Times New Roman"/>
                <w:sz w:val="18"/>
                <w:szCs w:val="18"/>
              </w:rPr>
              <w:t xml:space="preserve">veučilišni 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prijediplomski jednopredmetni </w:t>
            </w:r>
            <w:r w:rsidR="00E8408E" w:rsidRPr="00E8408E">
              <w:rPr>
                <w:rFonts w:ascii="Merriweather" w:hAnsi="Merriweather" w:cs="Times New Roman"/>
                <w:sz w:val="18"/>
                <w:szCs w:val="18"/>
              </w:rPr>
              <w:t>studij povijesti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50151C7D" w:rsidR="004B553E" w:rsidRPr="0017531F" w:rsidRDefault="00713A8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AB02BD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713A8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713A8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713A8F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713A8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06F562F1" w:rsidR="004B553E" w:rsidRPr="0017531F" w:rsidRDefault="00713A8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B4C20C3" w:rsidR="004B553E" w:rsidRPr="0017531F" w:rsidRDefault="00713A8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713A8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713A8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1C8BB76C" w:rsidR="004B553E" w:rsidRPr="0017531F" w:rsidRDefault="00713A8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713A8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713A8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713A8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5A8F17CB" w:rsidR="004B553E" w:rsidRPr="0017531F" w:rsidRDefault="00713A8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713A8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4D0E906E" w:rsidR="004B553E" w:rsidRPr="0017531F" w:rsidRDefault="00713A8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713A8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034137D8" w:rsidR="00393964" w:rsidRPr="0017531F" w:rsidRDefault="00713A8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713A8F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713A8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713A8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65F427F6" w:rsidR="00393964" w:rsidRPr="0017531F" w:rsidRDefault="00713A8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1CDA1976" w:rsidR="00453362" w:rsidRPr="0033185F" w:rsidRDefault="00CC054F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5"/>
                <w:szCs w:val="15"/>
              </w:rPr>
            </w:pPr>
            <w:r>
              <w:rPr>
                <w:rFonts w:ascii="Merriweather" w:hAnsi="Merriweather" w:cs="Times New Roman"/>
                <w:sz w:val="15"/>
                <w:szCs w:val="15"/>
              </w:rPr>
              <w:t>3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4CB26200" w:rsidR="00453362" w:rsidRPr="0017531F" w:rsidRDefault="00CC054F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46B75770" w:rsidR="00453362" w:rsidRPr="0017531F" w:rsidRDefault="00E8408E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44C8D18C" w:rsidR="00453362" w:rsidRPr="0017531F" w:rsidRDefault="00713A8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7D7306A8" w:rsidR="00453362" w:rsidRPr="0033185F" w:rsidRDefault="0033185F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3185F">
              <w:rPr>
                <w:rFonts w:ascii="Merriweather" w:hAnsi="Merriweather" w:cs="Times New Roman"/>
                <w:sz w:val="18"/>
                <w:szCs w:val="18"/>
              </w:rPr>
              <w:t>VD, MD - DHM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02A24BD8" w:rsidR="00453362" w:rsidRPr="0033185F" w:rsidRDefault="00E8408E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3185F">
              <w:rPr>
                <w:rFonts w:ascii="Merriweather" w:hAnsi="Merriweather" w:cs="Times New Roman"/>
                <w:sz w:val="18"/>
                <w:szCs w:val="18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6608C88F" w:rsidR="00E8408E" w:rsidRPr="00B20A83" w:rsidRDefault="00B20A8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B20A83"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7B88EC54" w:rsidR="00E8408E" w:rsidRPr="00B20A83" w:rsidRDefault="00B20A83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B20A83"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4E42B64A" w:rsidR="00453362" w:rsidRPr="0033185F" w:rsidRDefault="00E8408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3185F">
              <w:rPr>
                <w:rFonts w:ascii="Merriweather" w:hAnsi="Merriweather" w:cs="Times New Roman"/>
                <w:sz w:val="18"/>
                <w:szCs w:val="18"/>
              </w:rPr>
              <w:t>Nema posebnih uvjeta.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10980BB5" w:rsidR="00453362" w:rsidRPr="0033185F" w:rsidRDefault="00E8408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3185F">
              <w:rPr>
                <w:rFonts w:ascii="Merriweather" w:hAnsi="Merriweather" w:cs="Times New Roman"/>
                <w:sz w:val="18"/>
                <w:szCs w:val="18"/>
              </w:rPr>
              <w:t>Izv. prof. dr. sc. Valentina Šoštarić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75F37FAC" w:rsidR="00E8408E" w:rsidRPr="0033185F" w:rsidRDefault="00713A8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hyperlink r:id="rId10" w:history="1">
              <w:r w:rsidR="00E8408E" w:rsidRPr="0033185F">
                <w:rPr>
                  <w:rStyle w:val="Hiperveza"/>
                  <w:rFonts w:ascii="Merriweather" w:hAnsi="Merriweather" w:cs="Times New Roman"/>
                  <w:sz w:val="18"/>
                  <w:szCs w:val="18"/>
                </w:rPr>
                <w:t>vzovko@unizd.hr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6F36F875" w:rsidR="00453362" w:rsidRPr="0017531F" w:rsidRDefault="00DF182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Utorak:10.00-11.00h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5EA11021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78C30AEE" w:rsidR="00453362" w:rsidRPr="0017531F" w:rsidRDefault="00713A8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79055967" w:rsidR="00453362" w:rsidRPr="0017531F" w:rsidRDefault="00713A8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713A8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713A8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713A8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0B67DEAF" w:rsidR="00453362" w:rsidRPr="0017531F" w:rsidRDefault="00713A8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07832C7D" w:rsidR="00453362" w:rsidRPr="0017531F" w:rsidRDefault="00713A8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713A8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33362351" w:rsidR="00453362" w:rsidRPr="0017531F" w:rsidRDefault="00713A8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14E1AAD" w:rsidR="00453362" w:rsidRPr="0017531F" w:rsidRDefault="00713A8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67B8585F" w14:textId="77777777" w:rsidR="00E8408E" w:rsidRPr="00E8408E" w:rsidRDefault="00E8408E" w:rsidP="00E8408E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 xml:space="preserve">Nakon odslušanih predavanja i položenog ispita studenti/ce će: </w:t>
            </w:r>
          </w:p>
          <w:p w14:paraId="26231219" w14:textId="77777777" w:rsidR="00E8408E" w:rsidRPr="00E8408E" w:rsidRDefault="00E8408E" w:rsidP="00E8408E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>- steći osnovna znanja o povijesnim izvorima</w:t>
            </w:r>
          </w:p>
          <w:p w14:paraId="2A7A1DE7" w14:textId="77777777" w:rsidR="00E8408E" w:rsidRPr="00E8408E" w:rsidRDefault="00E8408E" w:rsidP="00E8408E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>- razviti sposobnost njihove analize</w:t>
            </w:r>
          </w:p>
          <w:p w14:paraId="29D9F213" w14:textId="77777777" w:rsidR="00E8408E" w:rsidRPr="00E8408E" w:rsidRDefault="00E8408E" w:rsidP="00E8408E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>- poznavati različite historiografske teorije</w:t>
            </w:r>
          </w:p>
          <w:p w14:paraId="29287D7F" w14:textId="77777777" w:rsidR="00E8408E" w:rsidRPr="00E8408E" w:rsidRDefault="00E8408E" w:rsidP="00E8408E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 xml:space="preserve">- razviti kritički odnos prema različitim interpretacijama  </w:t>
            </w:r>
          </w:p>
          <w:p w14:paraId="11634CA1" w14:textId="77777777" w:rsidR="00E8408E" w:rsidRPr="00E8408E" w:rsidRDefault="00E8408E" w:rsidP="00E8408E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>- izvesti vlastite zaključke o diskutabilnim problemima</w:t>
            </w:r>
          </w:p>
          <w:p w14:paraId="297F67A6" w14:textId="77777777" w:rsidR="00E8408E" w:rsidRPr="00E8408E" w:rsidRDefault="00E8408E" w:rsidP="00E8408E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>- svladati osnovnu terminologiju vezanu uz hrvatsko ranosrednjovjekovlje</w:t>
            </w:r>
          </w:p>
          <w:p w14:paraId="17B816C3" w14:textId="77777777" w:rsidR="00E8408E" w:rsidRPr="00E8408E" w:rsidRDefault="00E8408E" w:rsidP="00E8408E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>- razumjeti temeljne strukture i procese</w:t>
            </w:r>
          </w:p>
          <w:p w14:paraId="0C4DE6F3" w14:textId="77777777" w:rsidR="00E8408E" w:rsidRPr="00E8408E" w:rsidRDefault="00E8408E" w:rsidP="00E8408E">
            <w:pPr>
              <w:jc w:val="both"/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>- steći osnovna znanja i sposobnost samostalnog promišljanja o hrvatskoj ranosrednjovjekovnoj povijesti</w:t>
            </w:r>
          </w:p>
          <w:p w14:paraId="23A19CEB" w14:textId="77777777" w:rsidR="00E8408E" w:rsidRPr="00E8408E" w:rsidRDefault="00E8408E" w:rsidP="00E8408E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>- upoznati načine na koje se povjesničari koriste izvorima i kako ih interpretiraju</w:t>
            </w:r>
          </w:p>
          <w:p w14:paraId="0A0DB665" w14:textId="77777777" w:rsidR="00E8408E" w:rsidRPr="00E8408E" w:rsidRDefault="00E8408E" w:rsidP="00E8408E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>- razumjeti uzročno-posljedični tijek događaja na prostoru hrvatskih ranosrednjovjekovnih zemalja</w:t>
            </w:r>
          </w:p>
          <w:p w14:paraId="13E2A08B" w14:textId="65915638" w:rsidR="00310F9A" w:rsidRPr="0017531F" w:rsidRDefault="00E8408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>- interpretirati, sagledati i usporediti povijesne i društvene procese u hrvatskim ranosrednjovjekovnim zemljama s onima u bližem okruženju i na širem europskom prostoru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3EB470C0" w14:textId="77777777" w:rsidR="00E8408E" w:rsidRPr="00E8408E" w:rsidRDefault="00E8408E" w:rsidP="00E8408E">
            <w:pPr>
              <w:pStyle w:val="Default"/>
              <w:spacing w:after="25"/>
              <w:jc w:val="both"/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</w:pPr>
            <w:r w:rsidRPr="00E8408E"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  <w:t xml:space="preserve">PPJ1 – ispričati jasno i koncizno osnovni tijek povijesnih zbivanja od najstarijih vremena do suvremenosti, </w:t>
            </w:r>
          </w:p>
          <w:p w14:paraId="2B565403" w14:textId="77777777" w:rsidR="00E8408E" w:rsidRPr="00E8408E" w:rsidRDefault="00E8408E" w:rsidP="00E8408E">
            <w:pPr>
              <w:pStyle w:val="Default"/>
              <w:spacing w:after="25"/>
              <w:jc w:val="both"/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</w:pPr>
            <w:r w:rsidRPr="00E8408E"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  <w:t xml:space="preserve">PPJ2 – definirati i opisati povijesne događaje i procese svojstvene pojedinim povijesnim razdobljima i diferencirati specifičnosti pojedinih povijesnih razdoblja, </w:t>
            </w:r>
          </w:p>
          <w:p w14:paraId="29E1BDE6" w14:textId="77777777" w:rsidR="00E8408E" w:rsidRPr="00E8408E" w:rsidRDefault="00E8408E" w:rsidP="00E8408E">
            <w:pPr>
              <w:pStyle w:val="Default"/>
              <w:spacing w:after="25"/>
              <w:jc w:val="both"/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</w:pPr>
            <w:r w:rsidRPr="00E8408E"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  <w:t xml:space="preserve">PPJ3 – zapamtiti ključne osobe iz pojedinih povijesnih razdoblja i prepričati temeljne podatke o njima, </w:t>
            </w:r>
          </w:p>
          <w:p w14:paraId="543EECFB" w14:textId="77777777" w:rsidR="00E8408E" w:rsidRPr="00E8408E" w:rsidRDefault="00E8408E" w:rsidP="00E8408E">
            <w:pPr>
              <w:pStyle w:val="Default"/>
              <w:spacing w:after="25"/>
              <w:jc w:val="both"/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</w:pPr>
            <w:r w:rsidRPr="00E8408E"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  <w:lastRenderedPageBreak/>
              <w:t xml:space="preserve">PPJ4 – zapamtiti temeljne podatke iz hrvatske i svjetske povijesti, </w:t>
            </w:r>
          </w:p>
          <w:p w14:paraId="0D163D84" w14:textId="77777777" w:rsidR="00E8408E" w:rsidRPr="00E8408E" w:rsidRDefault="00E8408E" w:rsidP="00E8408E">
            <w:pPr>
              <w:pStyle w:val="Default"/>
              <w:spacing w:after="25"/>
              <w:jc w:val="both"/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</w:pPr>
            <w:r w:rsidRPr="00E8408E"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  <w:t xml:space="preserve">PPJ5 – zapamtiti i opisati temeljne vrste povijesne literature i izvora, </w:t>
            </w:r>
          </w:p>
          <w:p w14:paraId="2942ACBF" w14:textId="77777777" w:rsidR="00E8408E" w:rsidRPr="00E8408E" w:rsidRDefault="00E8408E" w:rsidP="00E8408E">
            <w:pPr>
              <w:pStyle w:val="Default"/>
              <w:spacing w:after="25"/>
              <w:jc w:val="both"/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</w:pPr>
            <w:r w:rsidRPr="00E8408E"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  <w:t xml:space="preserve">PPJ6 – zapamtiti i opisati historiografske pravce i škole te valjano koristiti povijesnu terminologiju, </w:t>
            </w:r>
          </w:p>
          <w:p w14:paraId="7DE9F346" w14:textId="77777777" w:rsidR="00E8408E" w:rsidRPr="00E8408E" w:rsidRDefault="00E8408E" w:rsidP="00E8408E">
            <w:pPr>
              <w:pStyle w:val="Default"/>
              <w:spacing w:after="25"/>
              <w:jc w:val="both"/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</w:pPr>
            <w:r w:rsidRPr="00E8408E"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  <w:t xml:space="preserve">PPJ7 – prepričati pojedine povijesne izvore, </w:t>
            </w:r>
          </w:p>
          <w:p w14:paraId="1326C71C" w14:textId="77777777" w:rsidR="00E8408E" w:rsidRPr="00E8408E" w:rsidRDefault="00E8408E" w:rsidP="00E8408E">
            <w:pPr>
              <w:pStyle w:val="Default"/>
              <w:spacing w:after="25"/>
              <w:jc w:val="both"/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</w:pPr>
            <w:r w:rsidRPr="00E8408E"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  <w:t xml:space="preserve">PPJ8 – objasniti uzročno-posljedične veze između povijesnih događaja i povijesnih procesa, </w:t>
            </w:r>
          </w:p>
          <w:p w14:paraId="51B12841" w14:textId="77777777" w:rsidR="00E8408E" w:rsidRPr="00E8408E" w:rsidRDefault="00E8408E" w:rsidP="00E8408E">
            <w:pPr>
              <w:pStyle w:val="Default"/>
              <w:spacing w:after="25"/>
              <w:jc w:val="both"/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</w:pPr>
            <w:r w:rsidRPr="00E8408E"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  <w:t xml:space="preserve">PPJ9 – prepoznati što je to povijesna interpretacija te prosuditi vrijednost pojedinih povijesnih interpretacija, </w:t>
            </w:r>
          </w:p>
          <w:p w14:paraId="14623077" w14:textId="77777777" w:rsidR="00E8408E" w:rsidRPr="00E8408E" w:rsidRDefault="00E8408E" w:rsidP="00E8408E">
            <w:pPr>
              <w:pStyle w:val="Default"/>
              <w:spacing w:after="25"/>
              <w:jc w:val="both"/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</w:pPr>
            <w:r w:rsidRPr="00E8408E"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  <w:t xml:space="preserve">PPJ10 – izraziti svoje mišljenje o povijesnim događajima i povijesnim procesima, izvesti samostalne zaključke o pojedinim događajima i procesima te razlučiti bitno od nebitnoga u interpretacijama povijesnih događaja i procesa, </w:t>
            </w:r>
          </w:p>
          <w:p w14:paraId="15E9F975" w14:textId="77777777" w:rsidR="00E8408E" w:rsidRPr="00E8408E" w:rsidRDefault="00E8408E" w:rsidP="00E8408E">
            <w:pPr>
              <w:pStyle w:val="Default"/>
              <w:jc w:val="both"/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</w:pPr>
            <w:r w:rsidRPr="00E8408E"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  <w:t xml:space="preserve">PPJ11 – usporediti povijesne procese u različitim razdobljima, odnosno povezati različite povijesne procese, </w:t>
            </w:r>
          </w:p>
          <w:p w14:paraId="4C13C822" w14:textId="77777777" w:rsidR="00E8408E" w:rsidRPr="00E8408E" w:rsidRDefault="00E8408E" w:rsidP="00E8408E">
            <w:pPr>
              <w:pStyle w:val="Default"/>
              <w:jc w:val="both"/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</w:pPr>
            <w:r w:rsidRPr="00E8408E"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  <w:t>PPJ12 – locirati i analizirati razne vrste primarnih i sekundarnih povijesnih izvora,</w:t>
            </w:r>
          </w:p>
          <w:p w14:paraId="2DF196E5" w14:textId="77777777" w:rsidR="00E8408E" w:rsidRPr="00E8408E" w:rsidRDefault="00E8408E" w:rsidP="00E8408E">
            <w:pPr>
              <w:pStyle w:val="Default"/>
              <w:jc w:val="both"/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</w:pPr>
            <w:r w:rsidRPr="00E8408E"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  <w:t>PPJ13 – napisati jasan i koherentan rad u kojemu se prikazuje određena povijesna tema ili teza o odabranom historiografskom pitanju ili problemu,</w:t>
            </w:r>
          </w:p>
          <w:p w14:paraId="2836A12A" w14:textId="77777777" w:rsidR="00E8408E" w:rsidRPr="00E8408E" w:rsidRDefault="00E8408E" w:rsidP="00E8408E">
            <w:pPr>
              <w:pStyle w:val="Default"/>
              <w:jc w:val="both"/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</w:pPr>
            <w:r w:rsidRPr="00E8408E">
              <w:rPr>
                <w:rFonts w:ascii="Merriweather" w:hAnsi="Merriweather"/>
                <w:noProof/>
                <w:color w:val="auto"/>
                <w:sz w:val="18"/>
                <w:szCs w:val="18"/>
                <w:lang w:val="hr-HR"/>
              </w:rPr>
              <w:t xml:space="preserve">PPJ14 – identificirati i objasniti temeljna načela funkcioniranja osnovnoškolske i srednjoškolske nastave povijesti, </w:t>
            </w:r>
          </w:p>
          <w:p w14:paraId="12CA2F78" w14:textId="52D19728" w:rsidR="00310F9A" w:rsidRPr="0017531F" w:rsidRDefault="00E8408E" w:rsidP="00E8408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E8408E">
              <w:rPr>
                <w:rFonts w:ascii="Merriweather" w:hAnsi="Merriweather"/>
                <w:noProof/>
                <w:sz w:val="18"/>
                <w:szCs w:val="18"/>
              </w:rPr>
              <w:t>PPJ15 – pokazati profesionalnu odgovornost i poštivati etiku akademske zajednice.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615CBFAA" w:rsidR="00FC2198" w:rsidRPr="0017531F" w:rsidRDefault="00713A8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140BBF32" w:rsidR="00FC2198" w:rsidRPr="0017531F" w:rsidRDefault="00713A8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5E6FA18C" w:rsidR="00FC2198" w:rsidRPr="0017531F" w:rsidRDefault="00713A8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2A7A710E" w:rsidR="00FC2198" w:rsidRPr="0017531F" w:rsidRDefault="00713A8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32F51CFB" w:rsidR="00FC2198" w:rsidRPr="0017531F" w:rsidRDefault="00713A8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713A8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713A8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568DAA74" w:rsidR="00FC2198" w:rsidRPr="0017531F" w:rsidRDefault="00713A8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713A8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559ACFFF" w:rsidR="00FC2198" w:rsidRPr="0017531F" w:rsidRDefault="00713A8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FC2198" w:rsidRPr="0017531F" w:rsidRDefault="00713A8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05A49764" w:rsidR="00FC2198" w:rsidRPr="0017531F" w:rsidRDefault="00713A8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294BE522" w:rsidR="00FC2198" w:rsidRPr="0017531F" w:rsidRDefault="00713A8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713A8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299366CE" w:rsidR="00FC2198" w:rsidRPr="00E8408E" w:rsidRDefault="00E8408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>Studenti su obavezni prisustvovati na 70% sati. Prisutnost na nastavi mora biti aktivna. To znači da se od studenata očekuje da dolaze spremni na nastavu i da odrade sve prethodno zadane obaveze i zadatke (npr. čitanje tekstova, izrada i prezentacija kratkih esejskih tema, izrada seminarskih radova).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185A1B31" w:rsidR="00FC2198" w:rsidRPr="0017531F" w:rsidRDefault="00713A8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713A8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358FDD61" w:rsidR="00FC2198" w:rsidRPr="0017531F" w:rsidRDefault="00713A8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08E4DAEE" w14:textId="1D9FFDE2" w:rsidR="0001047F" w:rsidRDefault="00DF1829" w:rsidP="0001047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Dva ispitna termina dostupna na stranicama odjela</w:t>
            </w:r>
          </w:p>
          <w:p w14:paraId="30038B6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7760B2F8" w:rsidR="00FC2198" w:rsidRPr="0001047F" w:rsidRDefault="00DF182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Dva ispitna termina dostupna na stranicama odjela</w:t>
            </w:r>
            <w:bookmarkStart w:id="0" w:name="_GoBack"/>
            <w:bookmarkEnd w:id="0"/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3AE87054" w14:textId="77777777" w:rsidR="00E8408E" w:rsidRPr="00E8408E" w:rsidRDefault="00E8408E" w:rsidP="00E8408E">
            <w:pPr>
              <w:jc w:val="both"/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 xml:space="preserve">U uvodnom dijelu kolegija studenti/ce će upoznati temeljne pojmove i kronološki okvir hrvatskog ranog srednjovjekovlja, zbirke objavljenih izvora, najvažnije arhivske zbirke te historiografiju o razdoblju hrvatskog ranog srednjeg vijeka. </w:t>
            </w:r>
          </w:p>
          <w:p w14:paraId="232A0C09" w14:textId="022A11F9" w:rsidR="00FC2198" w:rsidRPr="0017531F" w:rsidRDefault="00E8408E" w:rsidP="00E840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>U preostalom dijelu kolegija studenti/ce će na primjeru odabranih problema upoznati ključne teme hrvatske medievistike (s naglaskom na raščlambu postupanja povjesničara s izvorima i literaturom). Odabrane teme bit će obrađene u okviru predavanja kronološkim redom. Nastava će biti grupirana oko sljedećih problema: problem podrijetla Hrvata, etnogeneze i oblikovanja hrvatskog identiteta; pokrštavanje i crkveni ustroj; razvoj kneževske i kraljevske vlasti; organizacija i institucije vlasti; ranosrednjovjekovna društva; stvaranje plemstva; uloga crkvenih redova; razvoj gradova i županija; odnosi Hrvatske s Venecijom; gospodarske prilike; arhitektura; kultura i pismenost.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66B01D9A" w14:textId="77777777" w:rsidR="00E8408E" w:rsidRPr="00E8408E" w:rsidRDefault="00E8408E" w:rsidP="00E8408E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>1. Uvodna riječ (pitanja organizacije, načina izvođenja i polaganja kolegija, upoznavanje s obveznom i dopunskom literaturom)</w:t>
            </w:r>
          </w:p>
          <w:p w14:paraId="0D6C7836" w14:textId="77777777" w:rsidR="00E8408E" w:rsidRPr="00E8408E" w:rsidRDefault="00E8408E" w:rsidP="00E8408E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>Seminar: upoznavanje studenata s ciljevima i zadacima seminarskog dijela nastave. Dodjela seminarskih tema i termina izlaganja</w:t>
            </w:r>
          </w:p>
          <w:p w14:paraId="154C6C3D" w14:textId="77777777" w:rsidR="00E8408E" w:rsidRPr="00E8408E" w:rsidRDefault="00E8408E" w:rsidP="00E8408E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 xml:space="preserve">2. Periodizacija predmeta. Izvori za povijest Hrvata u ranom srednjem vijeku (franački, mletački, bizantski, papinski, ugarski) </w:t>
            </w:r>
          </w:p>
          <w:p w14:paraId="2FE1119D" w14:textId="77777777" w:rsidR="00E8408E" w:rsidRPr="00E8408E" w:rsidRDefault="00E8408E" w:rsidP="00E8408E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>Seminar: izlaganje seminarskog rada. Obrada, komentiranje i rasprava o relevantim materijalima koje su studenti dobili za čitanje</w:t>
            </w:r>
          </w:p>
          <w:p w14:paraId="686D8960" w14:textId="77777777" w:rsidR="00E8408E" w:rsidRPr="00E8408E" w:rsidRDefault="00E8408E" w:rsidP="00E8408E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 xml:space="preserve">3. Domaći izvori za hrvatsku ranosrednjovjekovnu povijest. Interpretacija i analiza: </w:t>
            </w:r>
            <w:r w:rsidRPr="00E8408E">
              <w:rPr>
                <w:rFonts w:ascii="Merriweather" w:hAnsi="Merriweather" w:cs="Times New Roman"/>
                <w:i/>
                <w:sz w:val="18"/>
                <w:szCs w:val="18"/>
              </w:rPr>
              <w:t>Historia Salonitana, Ljetopis popa Dukljanina, Supetarski kartular, Korčulanski kodeks</w:t>
            </w:r>
          </w:p>
          <w:p w14:paraId="4D3C23CE" w14:textId="77777777" w:rsidR="00E8408E" w:rsidRPr="00E8408E" w:rsidRDefault="00E8408E" w:rsidP="00E8408E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>Seminar: izlaganje seminarskog rada. Obrada, komentiranje i rasprava o relevantim materijalima koje su studenti dobili za čitanje</w:t>
            </w:r>
          </w:p>
          <w:p w14:paraId="17368050" w14:textId="77777777" w:rsidR="00E8408E" w:rsidRPr="00E8408E" w:rsidRDefault="00E8408E" w:rsidP="00E8408E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>4. Etnogeneza Hrvata: tradicionalni prikazi podrijetla Hrvata. Izvori i njihovo tumačenje (analiza koncepta „etnogeneze“). Problem hrvatskog identiteta u ranom srednjem vijeku</w:t>
            </w:r>
          </w:p>
          <w:p w14:paraId="20E534D0" w14:textId="77777777" w:rsidR="00E8408E" w:rsidRPr="00E8408E" w:rsidRDefault="00E8408E" w:rsidP="00E8408E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lastRenderedPageBreak/>
              <w:t>Seminar: izlaganje seminarskog rada. Obrada, komentiranje i rasprava o relevantim materijalima koje su studenti dobili za čitanje</w:t>
            </w:r>
          </w:p>
          <w:p w14:paraId="1427C870" w14:textId="77777777" w:rsidR="00E8408E" w:rsidRPr="00E8408E" w:rsidRDefault="00E8408E" w:rsidP="00E8408E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>5. Pokrštavanje i kristijanizacija (teorije o pokrštenju Hrvata, odnos pokrštavanja i kristijanizacije; periodizacija kristijanizacije, materijalni dokazi pokrštavanja). Crkvena arhitektura (graditeljski utjecaji; klesarske radionice; sveci zaštitnici; umjetnička obilježja predromanike i romanike). Biskupije, samostani i crkveni redovi.</w:t>
            </w:r>
          </w:p>
          <w:p w14:paraId="55411EFE" w14:textId="77777777" w:rsidR="00E8408E" w:rsidRPr="00E8408E" w:rsidRDefault="00E8408E" w:rsidP="00E8408E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>Seminar: izlaganje seminarskog rada. Obrada, komentiranje i rasprava o relevantim materijalima koje su studenti dobili za čitanje</w:t>
            </w:r>
          </w:p>
          <w:p w14:paraId="3E4ED9DB" w14:textId="77777777" w:rsidR="00E8408E" w:rsidRPr="00E8408E" w:rsidRDefault="00E8408E" w:rsidP="00E8408E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>6. Tropismena i trojezična kultura hrvatskog srednjovjekovlja</w:t>
            </w:r>
          </w:p>
          <w:p w14:paraId="72086964" w14:textId="77777777" w:rsidR="00E8408E" w:rsidRPr="00E8408E" w:rsidRDefault="00E8408E" w:rsidP="00E8408E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>Seminar: izlaganje seminarskog rada. Obrada, komentiranje i rasprava o relevantim materijalima koje su studenti dobili za čitanje</w:t>
            </w:r>
          </w:p>
          <w:p w14:paraId="47C0226E" w14:textId="77777777" w:rsidR="00E8408E" w:rsidRPr="00E8408E" w:rsidRDefault="00E8408E" w:rsidP="00E8408E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>7. Hrvatska u interesnoj sferi Franačkog i Bizantskog Carstva. Ustanak Ljudevita Posavskog. Istra-Rižanski placit.</w:t>
            </w:r>
          </w:p>
          <w:p w14:paraId="30F5AE9A" w14:textId="77777777" w:rsidR="00E8408E" w:rsidRPr="00E8408E" w:rsidRDefault="00E8408E" w:rsidP="00E8408E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>Seminar: izlaganje seminarskog rada. Obrada, komentiranje i rasprava o relevantim materijalima koje su studenti dobili za čitanje</w:t>
            </w:r>
          </w:p>
          <w:p w14:paraId="5C381F36" w14:textId="77777777" w:rsidR="00E8408E" w:rsidRPr="00E8408E" w:rsidRDefault="00E8408E" w:rsidP="00E8408E">
            <w:pPr>
              <w:tabs>
                <w:tab w:val="left" w:pos="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>8. Društvena i obiteljska stratifikacija</w:t>
            </w:r>
          </w:p>
          <w:p w14:paraId="70124F94" w14:textId="77777777" w:rsidR="00E8408E" w:rsidRPr="00E8408E" w:rsidRDefault="00E8408E" w:rsidP="00E8408E">
            <w:pPr>
              <w:tabs>
                <w:tab w:val="left" w:pos="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>Seminar: izlaganje seminarskog rada. Obrada, komentiranje i rasprava o relevantim materijalima koje su studenti dobili za čitanje</w:t>
            </w:r>
          </w:p>
          <w:p w14:paraId="0983CF5D" w14:textId="19C44FA9" w:rsidR="00E8408E" w:rsidRPr="00E8408E" w:rsidRDefault="00E8408E" w:rsidP="00E8408E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>9. Gospodarski razvoj („feudalni odnosi“, zemlja i stoka, sol, mlinovi, trgovina, porezi). Pravni odnosi.</w:t>
            </w:r>
            <w:r w:rsidR="00CB0153">
              <w:rPr>
                <w:rFonts w:ascii="Merriweather" w:hAnsi="Merriweather" w:cs="Times New Roman"/>
                <w:sz w:val="18"/>
                <w:szCs w:val="18"/>
              </w:rPr>
              <w:t xml:space="preserve"> Održavanje i provedba kolokvija.</w:t>
            </w:r>
          </w:p>
          <w:p w14:paraId="20B6DA29" w14:textId="77777777" w:rsidR="00E8408E" w:rsidRPr="00E8408E" w:rsidRDefault="00E8408E" w:rsidP="00E8408E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>Seminar: izlaganje seminarskog rada. Obrada, komentiranje i rasprava o relevantim materijalima koje su studenti dobili za čitanje</w:t>
            </w:r>
          </w:p>
          <w:p w14:paraId="21DC134A" w14:textId="77777777" w:rsidR="00E8408E" w:rsidRPr="00E8408E" w:rsidRDefault="00E8408E" w:rsidP="00E8408E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>10. Izgradnja političkih struktura i organizacija političke vlasti (oblici i karakter političke vlasti u ranom srednjem vijeku, periodizacija razvoja političke vlasti na hrvatskom srednjovjekovnom području). Vladarske titule. Službenici na dvoru hrvatskih vladara.</w:t>
            </w:r>
          </w:p>
          <w:p w14:paraId="12DCC0CC" w14:textId="77777777" w:rsidR="00E8408E" w:rsidRPr="00E8408E" w:rsidRDefault="00E8408E" w:rsidP="00E8408E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>Seminar: izlaganje seminarskog rada. Obrada, komentiranje i rasprava o relevantim materijalima koje su studenti dobili za čitanje</w:t>
            </w:r>
          </w:p>
          <w:p w14:paraId="39DD0D74" w14:textId="77777777" w:rsidR="00E8408E" w:rsidRPr="00E8408E" w:rsidRDefault="00E8408E" w:rsidP="00E8408E">
            <w:pPr>
              <w:tabs>
                <w:tab w:val="left" w:pos="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>11. Vojna snaga i organizacija vojske</w:t>
            </w:r>
          </w:p>
          <w:p w14:paraId="7059EF95" w14:textId="77777777" w:rsidR="00E8408E" w:rsidRPr="00E8408E" w:rsidRDefault="00E8408E" w:rsidP="00E8408E">
            <w:pPr>
              <w:tabs>
                <w:tab w:val="left" w:pos="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>Seminar: izlaganje seminarskog rada. Obrada, komentiranje i rasprava o relevantim materijalima koje su studenti dobili za čitanje</w:t>
            </w:r>
          </w:p>
          <w:p w14:paraId="45491C2B" w14:textId="77777777" w:rsidR="00E8408E" w:rsidRPr="00E8408E" w:rsidRDefault="00E8408E" w:rsidP="00E8408E">
            <w:pPr>
              <w:tabs>
                <w:tab w:val="left" w:pos="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>12. Od kneževine do kraljevstva I (od Mislava do Branimira)</w:t>
            </w:r>
          </w:p>
          <w:p w14:paraId="20CA6CF9" w14:textId="77777777" w:rsidR="00E8408E" w:rsidRPr="00E8408E" w:rsidRDefault="00E8408E" w:rsidP="00E8408E">
            <w:pPr>
              <w:tabs>
                <w:tab w:val="left" w:pos="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>Seminar: izlaganje seminarskog rada. Obrada, komentiranje i rasprava o relevantim materijalima koje su studenti dobili za čitanje</w:t>
            </w:r>
          </w:p>
          <w:p w14:paraId="10C34DA6" w14:textId="77777777" w:rsidR="00E8408E" w:rsidRPr="00E8408E" w:rsidRDefault="00E8408E" w:rsidP="00E8408E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>13. Od kneževine do kraljevstva II (od Tomislava do Stjepana Držislava)</w:t>
            </w:r>
          </w:p>
          <w:p w14:paraId="2F868DD5" w14:textId="77777777" w:rsidR="00E8408E" w:rsidRPr="00E8408E" w:rsidRDefault="00E8408E" w:rsidP="00E8408E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>Seminar: izlaganje seminarskog rada. Obrada, komentiranje i rasprava o relevantim materijalima koje su studenti dobili za čitanje</w:t>
            </w:r>
          </w:p>
          <w:p w14:paraId="57FBE484" w14:textId="77777777" w:rsidR="00E8408E" w:rsidRPr="00E8408E" w:rsidRDefault="00E8408E" w:rsidP="00E8408E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>14. Od kneževine do kraljevstva III (od Svetoslava Suronje do dolaska Arpadovića)</w:t>
            </w:r>
          </w:p>
          <w:p w14:paraId="757A885F" w14:textId="77777777" w:rsidR="00E8408E" w:rsidRPr="00E8408E" w:rsidRDefault="00E8408E" w:rsidP="00E8408E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>Seminar: izlaganje seminarskog rada. Obrada, komentiranje i rasprava o relevantim materijalima koje su studenti dobili za čitanje</w:t>
            </w:r>
          </w:p>
          <w:p w14:paraId="78CE9E58" w14:textId="77777777" w:rsidR="00E8408E" w:rsidRPr="00E8408E" w:rsidRDefault="00E8408E" w:rsidP="00E8408E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i/>
                <w:sz w:val="18"/>
                <w:szCs w:val="18"/>
              </w:rPr>
              <w:t>15. Pacta conventa</w:t>
            </w:r>
            <w:r w:rsidRPr="00E8408E">
              <w:rPr>
                <w:rFonts w:ascii="Merriweather" w:hAnsi="Merriweather" w:cs="Times New Roman"/>
                <w:sz w:val="18"/>
                <w:szCs w:val="18"/>
              </w:rPr>
              <w:t xml:space="preserve">. Kolomanova osvajanja. </w:t>
            </w:r>
            <w:r w:rsidRPr="00E8408E">
              <w:rPr>
                <w:rFonts w:ascii="Merriweather" w:hAnsi="Merriweather" w:cs="Times New Roman"/>
                <w:i/>
                <w:sz w:val="18"/>
                <w:szCs w:val="18"/>
              </w:rPr>
              <w:t>Trogirske privilegije</w:t>
            </w:r>
            <w:r w:rsidRPr="00E8408E">
              <w:rPr>
                <w:rFonts w:ascii="Merriweather" w:hAnsi="Merriweather" w:cs="Times New Roman"/>
                <w:sz w:val="18"/>
                <w:szCs w:val="18"/>
              </w:rPr>
              <w:t>.</w:t>
            </w:r>
            <w:r w:rsidRPr="00E8408E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</w:t>
            </w:r>
            <w:r w:rsidRPr="00E8408E">
              <w:rPr>
                <w:rFonts w:ascii="Merriweather" w:hAnsi="Merriweather" w:cs="Times New Roman"/>
                <w:sz w:val="18"/>
                <w:szCs w:val="18"/>
              </w:rPr>
              <w:t>Razvoj gradova. Zaključna razmatranja.</w:t>
            </w:r>
          </w:p>
          <w:p w14:paraId="6E3A408E" w14:textId="299D7D4C" w:rsidR="00FC2198" w:rsidRPr="0017531F" w:rsidRDefault="00E8408E" w:rsidP="00E840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>Seminar: zaključna razmatranja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1648C9C7" w14:textId="77777777" w:rsidR="00E8408E" w:rsidRPr="00E8408E" w:rsidRDefault="00E8408E" w:rsidP="00E8408E">
            <w:pPr>
              <w:autoSpaceDE w:val="0"/>
              <w:autoSpaceDN w:val="0"/>
              <w:adjustRightInd w:val="0"/>
              <w:jc w:val="both"/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 xml:space="preserve">1. </w:t>
            </w:r>
            <w:r w:rsidRPr="00E8408E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>BEUC, Ivan,</w:t>
            </w:r>
            <w:r w:rsidRPr="00E8408E">
              <w:rPr>
                <w:rFonts w:ascii="Merriweather" w:hAnsi="Merriweather" w:cs="Times New Roman"/>
                <w:i/>
                <w:sz w:val="18"/>
                <w:szCs w:val="18"/>
                <w:shd w:val="clear" w:color="auto" w:fill="FFFFFF"/>
              </w:rPr>
              <w:t xml:space="preserve"> Povijest institucija državne vlasti Kraljevine Hrvatske, Slavonije i Dalmacije</w:t>
            </w:r>
            <w:r w:rsidRPr="00E8408E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>, Zagreb: Pravni fakultet Zagreb, 1985.</w:t>
            </w:r>
          </w:p>
          <w:p w14:paraId="0171A260" w14:textId="77777777" w:rsidR="00E8408E" w:rsidRPr="00E8408E" w:rsidRDefault="00E8408E" w:rsidP="00E8408E">
            <w:pPr>
              <w:autoSpaceDE w:val="0"/>
              <w:autoSpaceDN w:val="0"/>
              <w:adjustRightInd w:val="0"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 xml:space="preserve">2. </w:t>
            </w:r>
            <w:r w:rsidRPr="00E8408E">
              <w:rPr>
                <w:rFonts w:ascii="Merriweather" w:hAnsi="Merriweather" w:cs="Times New Roman"/>
                <w:sz w:val="18"/>
                <w:szCs w:val="18"/>
                <w:lang w:val="en-US"/>
              </w:rPr>
              <w:t>BUDAK</w:t>
            </w:r>
            <w:r w:rsidRPr="00E8408E">
              <w:rPr>
                <w:rFonts w:ascii="Merriweather" w:hAnsi="Merriweather" w:cs="Times New Roman"/>
                <w:sz w:val="18"/>
                <w:szCs w:val="18"/>
              </w:rPr>
              <w:t xml:space="preserve">, </w:t>
            </w:r>
            <w:r w:rsidRPr="00E8408E">
              <w:rPr>
                <w:rFonts w:ascii="Merriweather" w:hAnsi="Merriweather" w:cs="Times New Roman"/>
                <w:sz w:val="18"/>
                <w:szCs w:val="18"/>
                <w:lang w:val="en-US"/>
              </w:rPr>
              <w:t>Neven</w:t>
            </w:r>
            <w:r w:rsidRPr="00E8408E">
              <w:rPr>
                <w:rFonts w:ascii="Merriweather" w:hAnsi="Merriweather" w:cs="Times New Roman"/>
                <w:sz w:val="18"/>
                <w:szCs w:val="18"/>
              </w:rPr>
              <w:t xml:space="preserve">, </w:t>
            </w:r>
            <w:r w:rsidRPr="00E8408E">
              <w:rPr>
                <w:rFonts w:ascii="Merriweather" w:hAnsi="Merriweather" w:cs="Times New Roman"/>
                <w:i/>
                <w:iCs/>
                <w:sz w:val="18"/>
                <w:szCs w:val="18"/>
                <w:lang w:val="en-US"/>
              </w:rPr>
              <w:t>Prva</w:t>
            </w:r>
            <w:r w:rsidRPr="00E8408E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8408E">
              <w:rPr>
                <w:rFonts w:ascii="Merriweather" w:hAnsi="Merriweather" w:cs="Times New Roman"/>
                <w:i/>
                <w:iCs/>
                <w:sz w:val="18"/>
                <w:szCs w:val="18"/>
                <w:lang w:val="en-US"/>
              </w:rPr>
              <w:t>stolje</w:t>
            </w:r>
            <w:proofErr w:type="spellEnd"/>
            <w:r w:rsidRPr="00E8408E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ć</w:t>
            </w:r>
            <w:r w:rsidRPr="00E8408E">
              <w:rPr>
                <w:rFonts w:ascii="Merriweather" w:hAnsi="Merriweather" w:cs="Times New Roman"/>
                <w:i/>
                <w:iCs/>
                <w:sz w:val="18"/>
                <w:szCs w:val="18"/>
                <w:lang w:val="en-US"/>
              </w:rPr>
              <w:t>a</w:t>
            </w:r>
            <w:r w:rsidRPr="00E8408E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8408E">
              <w:rPr>
                <w:rFonts w:ascii="Merriweather" w:hAnsi="Merriweather" w:cs="Times New Roman"/>
                <w:i/>
                <w:iCs/>
                <w:sz w:val="18"/>
                <w:szCs w:val="18"/>
                <w:lang w:val="en-US"/>
              </w:rPr>
              <w:t>Hrvatske</w:t>
            </w:r>
            <w:proofErr w:type="spellEnd"/>
            <w:r w:rsidRPr="00E8408E">
              <w:rPr>
                <w:rFonts w:ascii="Merriweather" w:hAnsi="Merriweather" w:cs="Times New Roman"/>
                <w:sz w:val="18"/>
                <w:szCs w:val="18"/>
              </w:rPr>
              <w:t xml:space="preserve">, </w:t>
            </w:r>
            <w:r w:rsidRPr="00E8408E">
              <w:rPr>
                <w:rFonts w:ascii="Merriweather" w:hAnsi="Merriweather" w:cs="Times New Roman"/>
                <w:sz w:val="18"/>
                <w:szCs w:val="18"/>
                <w:lang w:val="en-US"/>
              </w:rPr>
              <w:t>Zagreb</w:t>
            </w:r>
            <w:r w:rsidRPr="00E8408E">
              <w:rPr>
                <w:rFonts w:ascii="Merriweather" w:hAnsi="Merriweather" w:cs="Times New Roman"/>
                <w:sz w:val="18"/>
                <w:szCs w:val="18"/>
              </w:rPr>
              <w:t xml:space="preserve">: </w:t>
            </w:r>
            <w:proofErr w:type="spellStart"/>
            <w:r w:rsidRPr="00E8408E">
              <w:rPr>
                <w:rFonts w:ascii="Merriweather" w:hAnsi="Merriweather" w:cs="Times New Roman"/>
                <w:sz w:val="18"/>
                <w:szCs w:val="18"/>
                <w:lang w:val="en-US"/>
              </w:rPr>
              <w:t>Hrvatska</w:t>
            </w:r>
            <w:proofErr w:type="spellEnd"/>
            <w:r w:rsidRPr="00E8408E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proofErr w:type="spellStart"/>
            <w:r w:rsidRPr="00E8408E">
              <w:rPr>
                <w:rFonts w:ascii="Merriweather" w:hAnsi="Merriweather" w:cs="Times New Roman"/>
                <w:sz w:val="18"/>
                <w:szCs w:val="18"/>
                <w:lang w:val="en-US"/>
              </w:rPr>
              <w:t>sveu</w:t>
            </w:r>
            <w:proofErr w:type="spellEnd"/>
            <w:r w:rsidRPr="00E8408E">
              <w:rPr>
                <w:rFonts w:ascii="Merriweather" w:hAnsi="Merriweather" w:cs="Times New Roman"/>
                <w:sz w:val="18"/>
                <w:szCs w:val="18"/>
              </w:rPr>
              <w:t>č</w:t>
            </w:r>
            <w:proofErr w:type="spellStart"/>
            <w:r w:rsidRPr="00E8408E">
              <w:rPr>
                <w:rFonts w:ascii="Merriweather" w:hAnsi="Merriweather" w:cs="Times New Roman"/>
                <w:sz w:val="18"/>
                <w:szCs w:val="18"/>
                <w:lang w:val="en-US"/>
              </w:rPr>
              <w:t>ili</w:t>
            </w:r>
            <w:proofErr w:type="spellEnd"/>
            <w:r w:rsidRPr="00E8408E">
              <w:rPr>
                <w:rFonts w:ascii="Merriweather" w:hAnsi="Merriweather" w:cs="Times New Roman"/>
                <w:sz w:val="18"/>
                <w:szCs w:val="18"/>
              </w:rPr>
              <w:t>š</w:t>
            </w:r>
            <w:proofErr w:type="spellStart"/>
            <w:r w:rsidRPr="00E8408E">
              <w:rPr>
                <w:rFonts w:ascii="Merriweather" w:hAnsi="Merriweather" w:cs="Times New Roman"/>
                <w:sz w:val="18"/>
                <w:szCs w:val="18"/>
                <w:lang w:val="en-US"/>
              </w:rPr>
              <w:t>na</w:t>
            </w:r>
            <w:proofErr w:type="spellEnd"/>
            <w:r w:rsidRPr="00E8408E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proofErr w:type="spellStart"/>
            <w:r w:rsidRPr="00E8408E">
              <w:rPr>
                <w:rFonts w:ascii="Merriweather" w:hAnsi="Merriweather" w:cs="Times New Roman"/>
                <w:sz w:val="18"/>
                <w:szCs w:val="18"/>
                <w:lang w:val="en-US"/>
              </w:rPr>
              <w:t>naklada</w:t>
            </w:r>
            <w:proofErr w:type="spellEnd"/>
            <w:r w:rsidRPr="00E8408E">
              <w:rPr>
                <w:rFonts w:ascii="Merriweather" w:hAnsi="Merriweather" w:cs="Times New Roman"/>
                <w:sz w:val="18"/>
                <w:szCs w:val="18"/>
              </w:rPr>
              <w:t>, 1994.</w:t>
            </w:r>
          </w:p>
          <w:p w14:paraId="7F6EF07F" w14:textId="77777777" w:rsidR="00E8408E" w:rsidRPr="00E8408E" w:rsidRDefault="00E8408E" w:rsidP="00E8408E">
            <w:pPr>
              <w:autoSpaceDE w:val="0"/>
              <w:autoSpaceDN w:val="0"/>
              <w:adjustRightInd w:val="0"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 xml:space="preserve">3. </w:t>
            </w:r>
            <w:r w:rsidRPr="00E8408E">
              <w:rPr>
                <w:rFonts w:ascii="Merriweather" w:hAnsi="Merriweather" w:cs="Times New Roman"/>
                <w:sz w:val="18"/>
                <w:szCs w:val="18"/>
                <w:lang w:val="en-US"/>
              </w:rPr>
              <w:t>GOLDSTEIN</w:t>
            </w:r>
            <w:r w:rsidRPr="00E8408E">
              <w:rPr>
                <w:rFonts w:ascii="Merriweather" w:hAnsi="Merriweather" w:cs="Times New Roman"/>
                <w:sz w:val="18"/>
                <w:szCs w:val="18"/>
              </w:rPr>
              <w:t xml:space="preserve">, </w:t>
            </w:r>
            <w:r w:rsidRPr="00E8408E">
              <w:rPr>
                <w:rFonts w:ascii="Merriweather" w:hAnsi="Merriweather" w:cs="Times New Roman"/>
                <w:sz w:val="18"/>
                <w:szCs w:val="18"/>
                <w:lang w:val="en-US"/>
              </w:rPr>
              <w:t>Ivo</w:t>
            </w:r>
            <w:r w:rsidRPr="00E8408E">
              <w:rPr>
                <w:rFonts w:ascii="Merriweather" w:hAnsi="Merriweather" w:cs="Times New Roman"/>
                <w:sz w:val="18"/>
                <w:szCs w:val="18"/>
              </w:rPr>
              <w:t xml:space="preserve">, </w:t>
            </w:r>
            <w:proofErr w:type="spellStart"/>
            <w:r w:rsidRPr="00E8408E">
              <w:rPr>
                <w:rFonts w:ascii="Merriweather" w:hAnsi="Merriweather" w:cs="Times New Roman"/>
                <w:i/>
                <w:iCs/>
                <w:sz w:val="18"/>
                <w:szCs w:val="18"/>
                <w:lang w:val="en-US"/>
              </w:rPr>
              <w:t>Hrvatski</w:t>
            </w:r>
            <w:proofErr w:type="spellEnd"/>
            <w:r w:rsidRPr="00E8408E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</w:t>
            </w:r>
            <w:r w:rsidRPr="00E8408E">
              <w:rPr>
                <w:rFonts w:ascii="Merriweather" w:hAnsi="Merriweather" w:cs="Times New Roman"/>
                <w:i/>
                <w:iCs/>
                <w:sz w:val="18"/>
                <w:szCs w:val="18"/>
                <w:lang w:val="en-US"/>
              </w:rPr>
              <w:t>rani</w:t>
            </w:r>
            <w:r w:rsidRPr="00E8408E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8408E">
              <w:rPr>
                <w:rFonts w:ascii="Merriweather" w:hAnsi="Merriweather" w:cs="Times New Roman"/>
                <w:i/>
                <w:iCs/>
                <w:sz w:val="18"/>
                <w:szCs w:val="18"/>
                <w:lang w:val="en-US"/>
              </w:rPr>
              <w:t>srednji</w:t>
            </w:r>
            <w:proofErr w:type="spellEnd"/>
            <w:r w:rsidRPr="00E8408E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8408E">
              <w:rPr>
                <w:rFonts w:ascii="Merriweather" w:hAnsi="Merriweather" w:cs="Times New Roman"/>
                <w:i/>
                <w:iCs/>
                <w:sz w:val="18"/>
                <w:szCs w:val="18"/>
                <w:lang w:val="en-US"/>
              </w:rPr>
              <w:t>vijek</w:t>
            </w:r>
            <w:proofErr w:type="spellEnd"/>
            <w:r w:rsidRPr="00E8408E">
              <w:rPr>
                <w:rFonts w:ascii="Merriweather" w:hAnsi="Merriweather" w:cs="Times New Roman"/>
                <w:sz w:val="18"/>
                <w:szCs w:val="18"/>
              </w:rPr>
              <w:t xml:space="preserve">, </w:t>
            </w:r>
            <w:r w:rsidRPr="00E8408E">
              <w:rPr>
                <w:rFonts w:ascii="Merriweather" w:hAnsi="Merriweather" w:cs="Times New Roman"/>
                <w:sz w:val="18"/>
                <w:szCs w:val="18"/>
                <w:lang w:val="en-US"/>
              </w:rPr>
              <w:t>Zagreb</w:t>
            </w:r>
            <w:r w:rsidRPr="00E8408E">
              <w:rPr>
                <w:rFonts w:ascii="Merriweather" w:hAnsi="Merriweather" w:cs="Times New Roman"/>
                <w:sz w:val="18"/>
                <w:szCs w:val="18"/>
              </w:rPr>
              <w:t xml:space="preserve">: </w:t>
            </w:r>
            <w:r w:rsidRPr="00E8408E">
              <w:rPr>
                <w:rFonts w:ascii="Merriweather" w:hAnsi="Merriweather" w:cs="Times New Roman"/>
                <w:sz w:val="18"/>
                <w:szCs w:val="18"/>
                <w:lang w:val="en-US"/>
              </w:rPr>
              <w:t>Novi</w:t>
            </w:r>
            <w:r w:rsidRPr="00E8408E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E8408E">
              <w:rPr>
                <w:rFonts w:ascii="Merriweather" w:hAnsi="Merriweather" w:cs="Times New Roman"/>
                <w:sz w:val="18"/>
                <w:szCs w:val="18"/>
                <w:lang w:val="en-US"/>
              </w:rPr>
              <w:t>Liber</w:t>
            </w:r>
            <w:r w:rsidRPr="00E8408E">
              <w:rPr>
                <w:rFonts w:ascii="Merriweather" w:hAnsi="Merriweather" w:cs="Times New Roman"/>
                <w:sz w:val="18"/>
                <w:szCs w:val="18"/>
              </w:rPr>
              <w:t>, 1995.</w:t>
            </w:r>
          </w:p>
          <w:p w14:paraId="5E0D3E1C" w14:textId="77777777" w:rsidR="00E8408E" w:rsidRPr="00E8408E" w:rsidRDefault="00E8408E" w:rsidP="00E8408E">
            <w:pPr>
              <w:autoSpaceDE w:val="0"/>
              <w:autoSpaceDN w:val="0"/>
              <w:adjustRightInd w:val="0"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 xml:space="preserve">4. </w:t>
            </w:r>
            <w:r w:rsidRPr="00E8408E">
              <w:rPr>
                <w:rFonts w:ascii="Merriweather" w:hAnsi="Merriweather" w:cs="Times New Roman"/>
                <w:sz w:val="18"/>
                <w:szCs w:val="18"/>
                <w:lang w:val="en-US"/>
              </w:rPr>
              <w:t>KLAI</w:t>
            </w:r>
            <w:r w:rsidRPr="00E8408E">
              <w:rPr>
                <w:rFonts w:ascii="Merriweather" w:hAnsi="Merriweather" w:cs="Times New Roman"/>
                <w:sz w:val="18"/>
                <w:szCs w:val="18"/>
              </w:rPr>
              <w:t xml:space="preserve">Ć, </w:t>
            </w:r>
            <w:r w:rsidRPr="00E8408E">
              <w:rPr>
                <w:rFonts w:ascii="Merriweather" w:hAnsi="Merriweather" w:cs="Times New Roman"/>
                <w:sz w:val="18"/>
                <w:szCs w:val="18"/>
                <w:lang w:val="en-US"/>
              </w:rPr>
              <w:t>Nada</w:t>
            </w:r>
            <w:r w:rsidRPr="00E8408E">
              <w:rPr>
                <w:rFonts w:ascii="Merriweather" w:hAnsi="Merriweather" w:cs="Times New Roman"/>
                <w:sz w:val="18"/>
                <w:szCs w:val="18"/>
              </w:rPr>
              <w:t xml:space="preserve">, </w:t>
            </w:r>
            <w:proofErr w:type="spellStart"/>
            <w:r w:rsidRPr="00E8408E">
              <w:rPr>
                <w:rFonts w:ascii="Merriweather" w:hAnsi="Merriweather" w:cs="Times New Roman"/>
                <w:i/>
                <w:iCs/>
                <w:sz w:val="18"/>
                <w:szCs w:val="18"/>
                <w:lang w:val="en-US"/>
              </w:rPr>
              <w:t>Povijest</w:t>
            </w:r>
            <w:proofErr w:type="spellEnd"/>
            <w:r w:rsidRPr="00E8408E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8408E">
              <w:rPr>
                <w:rFonts w:ascii="Merriweather" w:hAnsi="Merriweather" w:cs="Times New Roman"/>
                <w:i/>
                <w:iCs/>
                <w:sz w:val="18"/>
                <w:szCs w:val="18"/>
                <w:lang w:val="en-US"/>
              </w:rPr>
              <w:t>Hrvata</w:t>
            </w:r>
            <w:proofErr w:type="spellEnd"/>
            <w:r w:rsidRPr="00E8408E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</w:t>
            </w:r>
            <w:r w:rsidRPr="00E8408E">
              <w:rPr>
                <w:rFonts w:ascii="Merriweather" w:hAnsi="Merriweather" w:cs="Times New Roman"/>
                <w:i/>
                <w:iCs/>
                <w:sz w:val="18"/>
                <w:szCs w:val="18"/>
                <w:lang w:val="en-US"/>
              </w:rPr>
              <w:t>u</w:t>
            </w:r>
            <w:r w:rsidRPr="00E8408E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8408E">
              <w:rPr>
                <w:rFonts w:ascii="Merriweather" w:hAnsi="Merriweather" w:cs="Times New Roman"/>
                <w:i/>
                <w:iCs/>
                <w:sz w:val="18"/>
                <w:szCs w:val="18"/>
                <w:lang w:val="en-US"/>
              </w:rPr>
              <w:t>ranom</w:t>
            </w:r>
            <w:proofErr w:type="spellEnd"/>
            <w:r w:rsidRPr="00E8408E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8408E">
              <w:rPr>
                <w:rFonts w:ascii="Merriweather" w:hAnsi="Merriweather" w:cs="Times New Roman"/>
                <w:i/>
                <w:iCs/>
                <w:sz w:val="18"/>
                <w:szCs w:val="18"/>
                <w:lang w:val="en-US"/>
              </w:rPr>
              <w:t>srednjem</w:t>
            </w:r>
            <w:proofErr w:type="spellEnd"/>
            <w:r w:rsidRPr="00E8408E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8408E">
              <w:rPr>
                <w:rFonts w:ascii="Merriweather" w:hAnsi="Merriweather" w:cs="Times New Roman"/>
                <w:i/>
                <w:iCs/>
                <w:sz w:val="18"/>
                <w:szCs w:val="18"/>
                <w:lang w:val="en-US"/>
              </w:rPr>
              <w:t>vijeku</w:t>
            </w:r>
            <w:proofErr w:type="spellEnd"/>
            <w:r w:rsidRPr="00E8408E">
              <w:rPr>
                <w:rFonts w:ascii="Merriweather" w:hAnsi="Merriweather" w:cs="Times New Roman"/>
                <w:sz w:val="18"/>
                <w:szCs w:val="18"/>
              </w:rPr>
              <w:t xml:space="preserve">, </w:t>
            </w:r>
            <w:r w:rsidRPr="00E8408E">
              <w:rPr>
                <w:rFonts w:ascii="Merriweather" w:hAnsi="Merriweather" w:cs="Times New Roman"/>
                <w:sz w:val="18"/>
                <w:szCs w:val="18"/>
                <w:lang w:val="en-US"/>
              </w:rPr>
              <w:t>Zagreb</w:t>
            </w:r>
            <w:r w:rsidRPr="00E8408E">
              <w:rPr>
                <w:rFonts w:ascii="Merriweather" w:hAnsi="Merriweather" w:cs="Times New Roman"/>
                <w:sz w:val="18"/>
                <w:szCs w:val="18"/>
              </w:rPr>
              <w:t>: Š</w:t>
            </w:r>
            <w:proofErr w:type="spellStart"/>
            <w:r w:rsidRPr="00E8408E">
              <w:rPr>
                <w:rFonts w:ascii="Merriweather" w:hAnsi="Merriweather" w:cs="Times New Roman"/>
                <w:sz w:val="18"/>
                <w:szCs w:val="18"/>
                <w:lang w:val="en-US"/>
              </w:rPr>
              <w:t>kolska</w:t>
            </w:r>
            <w:proofErr w:type="spellEnd"/>
            <w:r w:rsidRPr="00E8408E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proofErr w:type="spellStart"/>
            <w:r w:rsidRPr="00E8408E">
              <w:rPr>
                <w:rFonts w:ascii="Merriweather" w:hAnsi="Merriweather" w:cs="Times New Roman"/>
                <w:sz w:val="18"/>
                <w:szCs w:val="18"/>
                <w:lang w:val="en-US"/>
              </w:rPr>
              <w:t>knjiga</w:t>
            </w:r>
            <w:proofErr w:type="spellEnd"/>
            <w:r w:rsidRPr="00E8408E">
              <w:rPr>
                <w:rFonts w:ascii="Merriweather" w:hAnsi="Merriweather" w:cs="Times New Roman"/>
                <w:sz w:val="18"/>
                <w:szCs w:val="18"/>
              </w:rPr>
              <w:t>, 1975.</w:t>
            </w:r>
          </w:p>
          <w:p w14:paraId="3D1494DC" w14:textId="77777777" w:rsidR="00E8408E" w:rsidRPr="00E8408E" w:rsidRDefault="00E8408E" w:rsidP="00E8408E">
            <w:pPr>
              <w:autoSpaceDE w:val="0"/>
              <w:autoSpaceDN w:val="0"/>
              <w:adjustRightInd w:val="0"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>5.</w:t>
            </w:r>
            <w:r w:rsidRPr="00E8408E">
              <w:rPr>
                <w:rFonts w:ascii="Merriweather" w:hAnsi="Merriweather" w:cs="Times New Roman"/>
                <w:spacing w:val="-2"/>
                <w:sz w:val="18"/>
                <w:szCs w:val="18"/>
              </w:rPr>
              <w:t xml:space="preserve"> </w:t>
            </w:r>
            <w:r w:rsidRPr="00E8408E">
              <w:rPr>
                <w:rFonts w:ascii="Merriweather" w:hAnsi="Merriweather" w:cs="Times New Roman"/>
                <w:sz w:val="18"/>
                <w:szCs w:val="18"/>
                <w:lang w:val="en-US"/>
              </w:rPr>
              <w:t>RAUKAR</w:t>
            </w:r>
            <w:r w:rsidRPr="00E8408E">
              <w:rPr>
                <w:rFonts w:ascii="Merriweather" w:hAnsi="Merriweather" w:cs="Times New Roman"/>
                <w:sz w:val="18"/>
                <w:szCs w:val="18"/>
              </w:rPr>
              <w:t xml:space="preserve">, </w:t>
            </w:r>
            <w:r w:rsidRPr="00E8408E">
              <w:rPr>
                <w:rFonts w:ascii="Merriweather" w:hAnsi="Merriweather" w:cs="Times New Roman"/>
                <w:sz w:val="18"/>
                <w:szCs w:val="18"/>
                <w:lang w:val="en-US"/>
              </w:rPr>
              <w:t>Tomislav</w:t>
            </w:r>
            <w:r w:rsidRPr="00E8408E">
              <w:rPr>
                <w:rFonts w:ascii="Merriweather" w:hAnsi="Merriweather" w:cs="Times New Roman"/>
                <w:sz w:val="18"/>
                <w:szCs w:val="18"/>
              </w:rPr>
              <w:t xml:space="preserve">, </w:t>
            </w:r>
            <w:proofErr w:type="spellStart"/>
            <w:r w:rsidRPr="00E8408E">
              <w:rPr>
                <w:rFonts w:ascii="Merriweather" w:hAnsi="Merriweather" w:cs="Times New Roman"/>
                <w:i/>
                <w:iCs/>
                <w:sz w:val="18"/>
                <w:szCs w:val="18"/>
                <w:lang w:val="en-US"/>
              </w:rPr>
              <w:t>Hrvatsko</w:t>
            </w:r>
            <w:proofErr w:type="spellEnd"/>
            <w:r w:rsidRPr="00E8408E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8408E">
              <w:rPr>
                <w:rFonts w:ascii="Merriweather" w:hAnsi="Merriweather" w:cs="Times New Roman"/>
                <w:i/>
                <w:iCs/>
                <w:sz w:val="18"/>
                <w:szCs w:val="18"/>
                <w:lang w:val="en-US"/>
              </w:rPr>
              <w:t>srednjovjekovlje</w:t>
            </w:r>
            <w:proofErr w:type="spellEnd"/>
            <w:r w:rsidRPr="00E8408E">
              <w:rPr>
                <w:rFonts w:ascii="Merriweather" w:hAnsi="Merriweather" w:cs="Times New Roman"/>
                <w:sz w:val="18"/>
                <w:szCs w:val="18"/>
              </w:rPr>
              <w:t xml:space="preserve">, </w:t>
            </w:r>
            <w:r w:rsidRPr="00E8408E">
              <w:rPr>
                <w:rFonts w:ascii="Merriweather" w:hAnsi="Merriweather" w:cs="Times New Roman"/>
                <w:sz w:val="18"/>
                <w:szCs w:val="18"/>
                <w:lang w:val="en-US"/>
              </w:rPr>
              <w:t>Zagreb</w:t>
            </w:r>
            <w:r w:rsidRPr="00E8408E">
              <w:rPr>
                <w:rFonts w:ascii="Merriweather" w:hAnsi="Merriweather" w:cs="Times New Roman"/>
                <w:sz w:val="18"/>
                <w:szCs w:val="18"/>
              </w:rPr>
              <w:t>: Š</w:t>
            </w:r>
            <w:proofErr w:type="spellStart"/>
            <w:r w:rsidRPr="00E8408E">
              <w:rPr>
                <w:rFonts w:ascii="Merriweather" w:hAnsi="Merriweather" w:cs="Times New Roman"/>
                <w:sz w:val="18"/>
                <w:szCs w:val="18"/>
                <w:lang w:val="en-US"/>
              </w:rPr>
              <w:t>kolska</w:t>
            </w:r>
            <w:proofErr w:type="spellEnd"/>
            <w:r w:rsidRPr="00E8408E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proofErr w:type="spellStart"/>
            <w:r w:rsidRPr="00E8408E">
              <w:rPr>
                <w:rFonts w:ascii="Merriweather" w:hAnsi="Merriweather" w:cs="Times New Roman"/>
                <w:sz w:val="18"/>
                <w:szCs w:val="18"/>
                <w:lang w:val="en-US"/>
              </w:rPr>
              <w:t>knjiga</w:t>
            </w:r>
            <w:proofErr w:type="spellEnd"/>
            <w:r w:rsidRPr="00E8408E">
              <w:rPr>
                <w:rFonts w:ascii="Merriweather" w:hAnsi="Merriweather" w:cs="Times New Roman"/>
                <w:sz w:val="18"/>
                <w:szCs w:val="18"/>
              </w:rPr>
              <w:t xml:space="preserve"> – </w:t>
            </w:r>
            <w:proofErr w:type="spellStart"/>
            <w:r w:rsidRPr="00E8408E">
              <w:rPr>
                <w:rFonts w:ascii="Merriweather" w:hAnsi="Merriweather" w:cs="Times New Roman"/>
                <w:sz w:val="18"/>
                <w:szCs w:val="18"/>
                <w:lang w:val="en-US"/>
              </w:rPr>
              <w:t>Zavod</w:t>
            </w:r>
            <w:proofErr w:type="spellEnd"/>
            <w:r w:rsidRPr="00E8408E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proofErr w:type="spellStart"/>
            <w:r w:rsidRPr="00E8408E">
              <w:rPr>
                <w:rFonts w:ascii="Merriweather" w:hAnsi="Merriweather" w:cs="Times New Roman"/>
                <w:sz w:val="18"/>
                <w:szCs w:val="18"/>
                <w:lang w:val="en-US"/>
              </w:rPr>
              <w:t>za</w:t>
            </w:r>
            <w:proofErr w:type="spellEnd"/>
            <w:r w:rsidRPr="00E8408E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proofErr w:type="spellStart"/>
            <w:r w:rsidRPr="00E8408E">
              <w:rPr>
                <w:rFonts w:ascii="Merriweather" w:hAnsi="Merriweather" w:cs="Times New Roman"/>
                <w:sz w:val="18"/>
                <w:szCs w:val="18"/>
                <w:lang w:val="en-US"/>
              </w:rPr>
              <w:t>hrvatsku</w:t>
            </w:r>
            <w:proofErr w:type="spellEnd"/>
            <w:r w:rsidRPr="00E8408E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proofErr w:type="spellStart"/>
            <w:r w:rsidRPr="00E8408E">
              <w:rPr>
                <w:rFonts w:ascii="Merriweather" w:hAnsi="Merriweather" w:cs="Times New Roman"/>
                <w:sz w:val="18"/>
                <w:szCs w:val="18"/>
                <w:lang w:val="en-US"/>
              </w:rPr>
              <w:t>povijest</w:t>
            </w:r>
            <w:proofErr w:type="spellEnd"/>
            <w:r w:rsidRPr="00E8408E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E8408E">
              <w:rPr>
                <w:rFonts w:ascii="Merriweather" w:hAnsi="Merriweather" w:cs="Times New Roman"/>
                <w:sz w:val="18"/>
                <w:szCs w:val="18"/>
                <w:lang w:val="en-US"/>
              </w:rPr>
              <w:t>FF</w:t>
            </w:r>
            <w:r w:rsidRPr="00E8408E">
              <w:rPr>
                <w:rFonts w:ascii="Merriweather" w:hAnsi="Merriweather" w:cs="Times New Roman"/>
                <w:sz w:val="18"/>
                <w:szCs w:val="18"/>
              </w:rPr>
              <w:t>-</w:t>
            </w:r>
            <w:r w:rsidRPr="00E8408E">
              <w:rPr>
                <w:rFonts w:ascii="Merriweather" w:hAnsi="Merriweather" w:cs="Times New Roman"/>
                <w:sz w:val="18"/>
                <w:szCs w:val="18"/>
                <w:lang w:val="en-US"/>
              </w:rPr>
              <w:t>a</w:t>
            </w:r>
            <w:r w:rsidRPr="00E8408E">
              <w:rPr>
                <w:rFonts w:ascii="Merriweather" w:hAnsi="Merriweather" w:cs="Times New Roman"/>
                <w:sz w:val="18"/>
                <w:szCs w:val="18"/>
              </w:rPr>
              <w:t>, 1997.</w:t>
            </w:r>
          </w:p>
          <w:p w14:paraId="599F89D9" w14:textId="77777777" w:rsidR="00E8408E" w:rsidRPr="00E8408E" w:rsidRDefault="00E8408E" w:rsidP="00E8408E">
            <w:pPr>
              <w:autoSpaceDE w:val="0"/>
              <w:autoSpaceDN w:val="0"/>
              <w:adjustRightInd w:val="0"/>
              <w:jc w:val="both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 xml:space="preserve">6. </w:t>
            </w:r>
            <w:r w:rsidRPr="00E8408E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 xml:space="preserve">ŠANJEK, Franjo (ur.), </w:t>
            </w:r>
            <w:r w:rsidRPr="00E8408E">
              <w:rPr>
                <w:rFonts w:ascii="Merriweather" w:hAnsi="Merriweather" w:cs="Times New Roman"/>
                <w:i/>
                <w:sz w:val="18"/>
                <w:szCs w:val="18"/>
                <w:lang w:eastAsia="hr-HR"/>
              </w:rPr>
              <w:t>Povijest Hrvata</w:t>
            </w:r>
            <w:r w:rsidRPr="00E8408E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, knj. I, Srednji vijek, Zagreb: Školska knjiga, 2003.</w:t>
            </w:r>
          </w:p>
          <w:p w14:paraId="58782013" w14:textId="77777777" w:rsidR="00E8408E" w:rsidRPr="00E8408E" w:rsidRDefault="00E8408E" w:rsidP="00E8408E">
            <w:pPr>
              <w:autoSpaceDE w:val="0"/>
              <w:autoSpaceDN w:val="0"/>
              <w:adjustRightInd w:val="0"/>
              <w:jc w:val="both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 xml:space="preserve">7. ŠIŠIĆ, Ferdo, </w:t>
            </w:r>
            <w:r w:rsidRPr="00E8408E">
              <w:rPr>
                <w:rFonts w:ascii="Merriweather" w:hAnsi="Merriweather" w:cs="Times New Roman"/>
                <w:i/>
                <w:sz w:val="18"/>
                <w:szCs w:val="18"/>
                <w:lang w:eastAsia="hr-HR"/>
              </w:rPr>
              <w:t>Povijest Hrvata u vrijeme narodnih vladara</w:t>
            </w:r>
            <w:r w:rsidRPr="00E8408E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, Zagreb: Nakladni zavod Matice hrvatske, 1990.</w:t>
            </w:r>
          </w:p>
          <w:p w14:paraId="0B89B5BE" w14:textId="1373555E" w:rsidR="00FC2198" w:rsidRPr="0017531F" w:rsidRDefault="00E8408E" w:rsidP="00E840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 xml:space="preserve">8. </w:t>
            </w:r>
            <w:r w:rsidRPr="00E8408E">
              <w:rPr>
                <w:rFonts w:ascii="Merriweather" w:hAnsi="Merriweather" w:cs="Times New Roman"/>
                <w:i/>
                <w:sz w:val="18"/>
                <w:szCs w:val="18"/>
                <w:shd w:val="clear" w:color="auto" w:fill="FFFFFF"/>
              </w:rPr>
              <w:t>Nova zraka u europskom svjetlu: Hrvatske zemlje u ranome srednjem vijeku (oko 550 - oko 1150)</w:t>
            </w:r>
            <w:r w:rsidRPr="00E8408E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>, ur. Z. Nikolić Jakus, Zagreb: MH, 2015.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71E2EE0C" w14:textId="77777777" w:rsidR="00E8408E" w:rsidRPr="00E8408E" w:rsidRDefault="00E8408E" w:rsidP="00E8408E">
            <w:pPr>
              <w:shd w:val="clear" w:color="auto" w:fill="FFFFFF"/>
              <w:ind w:left="375"/>
              <w:jc w:val="both"/>
              <w:rPr>
                <w:rFonts w:ascii="Merriweather" w:hAnsi="Merriweather" w:cs="Times New Roman"/>
                <w:b/>
                <w:spacing w:val="-2"/>
                <w:sz w:val="18"/>
                <w:szCs w:val="18"/>
                <w:u w:val="single"/>
              </w:rPr>
            </w:pPr>
            <w:r w:rsidRPr="00E8408E">
              <w:rPr>
                <w:rFonts w:ascii="Merriweather" w:hAnsi="Merriweather" w:cs="Times New Roman"/>
                <w:b/>
                <w:spacing w:val="-2"/>
                <w:sz w:val="18"/>
                <w:szCs w:val="18"/>
                <w:u w:val="single"/>
              </w:rPr>
              <w:t>Rad na izvorima:</w:t>
            </w:r>
          </w:p>
          <w:p w14:paraId="29D344E3" w14:textId="77777777" w:rsidR="00E8408E" w:rsidRPr="00E8408E" w:rsidRDefault="00E8408E" w:rsidP="00E8408E">
            <w:pPr>
              <w:jc w:val="both"/>
              <w:rPr>
                <w:rFonts w:ascii="Merriweather" w:hAnsi="Merriweather" w:cs="Times New Roman"/>
                <w:spacing w:val="-2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pacing w:val="-2"/>
                <w:sz w:val="18"/>
                <w:szCs w:val="18"/>
              </w:rPr>
              <w:t xml:space="preserve">1.  Konstantin Porfirogenet, </w:t>
            </w:r>
            <w:r w:rsidRPr="00E8408E">
              <w:rPr>
                <w:rFonts w:ascii="Merriweather" w:hAnsi="Merriweather" w:cs="Times New Roman"/>
                <w:i/>
                <w:spacing w:val="-2"/>
                <w:sz w:val="18"/>
                <w:szCs w:val="18"/>
              </w:rPr>
              <w:t>O upravljanju carstvom</w:t>
            </w:r>
            <w:r w:rsidRPr="00E8408E">
              <w:rPr>
                <w:rFonts w:ascii="Merriweather" w:hAnsi="Merriweather" w:cs="Times New Roman"/>
                <w:spacing w:val="-2"/>
                <w:sz w:val="18"/>
                <w:szCs w:val="18"/>
              </w:rPr>
              <w:t>, Zagreb: Dom i svijet, 2003., str. 63-91.</w:t>
            </w:r>
          </w:p>
          <w:p w14:paraId="29067C20" w14:textId="77777777" w:rsidR="00E8408E" w:rsidRPr="00E8408E" w:rsidRDefault="00E8408E" w:rsidP="00E8408E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pacing w:val="-2"/>
                <w:sz w:val="18"/>
                <w:szCs w:val="18"/>
              </w:rPr>
              <w:t xml:space="preserve">2.  </w:t>
            </w:r>
            <w:r w:rsidRPr="00E8408E">
              <w:rPr>
                <w:rFonts w:ascii="Merriweather" w:hAnsi="Merriweather" w:cs="Times New Roman"/>
                <w:sz w:val="18"/>
                <w:szCs w:val="18"/>
              </w:rPr>
              <w:t xml:space="preserve">Toma Arhiđakon, </w:t>
            </w:r>
            <w:r w:rsidRPr="00E8408E">
              <w:rPr>
                <w:rFonts w:ascii="Merriweather" w:hAnsi="Merriweather" w:cs="Times New Roman"/>
                <w:i/>
                <w:sz w:val="18"/>
                <w:szCs w:val="18"/>
              </w:rPr>
              <w:t>Historia Salonitana. Povijest salonitanskih i splitskih prvosvećenika</w:t>
            </w:r>
            <w:r w:rsidRPr="00E8408E">
              <w:rPr>
                <w:rFonts w:ascii="Merriweather" w:hAnsi="Merriweather" w:cs="Times New Roman"/>
                <w:sz w:val="18"/>
                <w:szCs w:val="18"/>
              </w:rPr>
              <w:t xml:space="preserve">, </w:t>
            </w:r>
          </w:p>
          <w:p w14:paraId="78D4B249" w14:textId="77777777" w:rsidR="00E8408E" w:rsidRPr="00E8408E" w:rsidRDefault="00E8408E" w:rsidP="00E8408E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 xml:space="preserve">     Predgovor, latinski tekst, kritički aparat i prijevod na hrvatski jezik Olga PERIĆ, Povijesni  komentar Mirjana Matijević Sokol, studija „Toma Arhiđakon i njegovo djelo“ Radoslav Katičić, Split: Književni krug, 2003., str. 31-83.</w:t>
            </w:r>
          </w:p>
          <w:p w14:paraId="12C8927C" w14:textId="77777777" w:rsidR="00E8408E" w:rsidRPr="00E8408E" w:rsidRDefault="00E8408E" w:rsidP="00E8408E">
            <w:pPr>
              <w:tabs>
                <w:tab w:val="left" w:pos="2820"/>
              </w:tabs>
              <w:ind w:left="435" w:hanging="435"/>
              <w:jc w:val="both"/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 xml:space="preserve">3. Nada Klaić, </w:t>
            </w:r>
            <w:r w:rsidRPr="00E8408E">
              <w:rPr>
                <w:rFonts w:ascii="Merriweather" w:hAnsi="Merriweather" w:cs="Times New Roman"/>
                <w:i/>
                <w:sz w:val="18"/>
                <w:szCs w:val="18"/>
                <w:shd w:val="clear" w:color="auto" w:fill="FFFFFF"/>
              </w:rPr>
              <w:t>Izvori za hrvatsku povijest do 1526. godine</w:t>
            </w:r>
            <w:r w:rsidRPr="00E8408E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>, Zagreb: Školska knjiga, 1972.</w:t>
            </w:r>
          </w:p>
          <w:p w14:paraId="33A84B2E" w14:textId="77777777" w:rsidR="00E8408E" w:rsidRPr="00E8408E" w:rsidRDefault="00E8408E" w:rsidP="00E8408E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lastRenderedPageBreak/>
              <w:t xml:space="preserve">4. </w:t>
            </w:r>
            <w:r w:rsidRPr="00E8408E">
              <w:rPr>
                <w:rFonts w:ascii="Merriweather" w:hAnsi="Merriweather" w:cs="Times New Roman"/>
                <w:i/>
                <w:sz w:val="18"/>
                <w:szCs w:val="18"/>
                <w:shd w:val="clear" w:color="auto" w:fill="FFFFFF"/>
              </w:rPr>
              <w:t>Ljetopis popa Dukljanina</w:t>
            </w:r>
            <w:r w:rsidRPr="00E8408E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>, ur. S. Mijušković, Beograd, 1988.</w:t>
            </w:r>
          </w:p>
          <w:p w14:paraId="5A58FD06" w14:textId="77777777" w:rsidR="00E8408E" w:rsidRPr="00E8408E" w:rsidRDefault="00E8408E" w:rsidP="00E8408E">
            <w:pPr>
              <w:shd w:val="clear" w:color="auto" w:fill="FFFFFF"/>
              <w:ind w:left="375"/>
              <w:jc w:val="both"/>
              <w:rPr>
                <w:rFonts w:ascii="Merriweather" w:hAnsi="Merriweather" w:cs="Times New Roman"/>
                <w:b/>
                <w:spacing w:val="-2"/>
                <w:sz w:val="18"/>
                <w:szCs w:val="18"/>
                <w:u w:val="single"/>
              </w:rPr>
            </w:pPr>
            <w:r w:rsidRPr="00E8408E">
              <w:rPr>
                <w:rFonts w:ascii="Merriweather" w:hAnsi="Merriweather" w:cs="Times New Roman"/>
                <w:b/>
                <w:spacing w:val="-2"/>
                <w:sz w:val="18"/>
                <w:szCs w:val="18"/>
                <w:u w:val="single"/>
              </w:rPr>
              <w:t>Dopunska literatura:</w:t>
            </w:r>
          </w:p>
          <w:p w14:paraId="22EFBCCD" w14:textId="77777777" w:rsidR="00E8408E" w:rsidRPr="00E8408E" w:rsidRDefault="00E8408E" w:rsidP="00E8408E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 xml:space="preserve">1. BRANDT, Miroslav, </w:t>
            </w:r>
            <w:r w:rsidRPr="00E8408E">
              <w:rPr>
                <w:rFonts w:ascii="Merriweather" w:hAnsi="Merriweather" w:cs="Times New Roman"/>
                <w:i/>
                <w:sz w:val="18"/>
                <w:szCs w:val="18"/>
                <w:shd w:val="clear" w:color="auto" w:fill="FFFFFF"/>
              </w:rPr>
              <w:t>Srednjovjekovno doba povijesnog razvitka</w:t>
            </w:r>
            <w:r w:rsidRPr="00E8408E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 xml:space="preserve">, Zagreb: Školska knjiga, 1995.ŠIŠIĆ, Ferdo, </w:t>
            </w:r>
            <w:r w:rsidRPr="00E8408E">
              <w:rPr>
                <w:rFonts w:ascii="Merriweather" w:hAnsi="Merriweather" w:cs="Times New Roman"/>
                <w:i/>
                <w:sz w:val="18"/>
                <w:szCs w:val="18"/>
                <w:shd w:val="clear" w:color="auto" w:fill="FFFFFF"/>
              </w:rPr>
              <w:t>Povijest Hrvata u doba narodnih vladara</w:t>
            </w:r>
            <w:r w:rsidRPr="00E8408E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 xml:space="preserve">, Zagreb: Nakladni zavod MH, 1992. </w:t>
            </w:r>
          </w:p>
          <w:p w14:paraId="622AD458" w14:textId="77777777" w:rsidR="00E8408E" w:rsidRPr="00E8408E" w:rsidRDefault="00E8408E" w:rsidP="00E8408E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 xml:space="preserve">2. BUDAK, Neven, </w:t>
            </w:r>
            <w:r w:rsidRPr="00E8408E">
              <w:rPr>
                <w:rFonts w:ascii="Merriweather" w:hAnsi="Merriweather" w:cs="Times New Roman"/>
                <w:i/>
                <w:sz w:val="18"/>
                <w:szCs w:val="18"/>
                <w:shd w:val="clear" w:color="auto" w:fill="FFFFFF"/>
              </w:rPr>
              <w:t>Gradovi Varaždinske županije u srednjem vijeku</w:t>
            </w:r>
            <w:r w:rsidRPr="00E8408E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 xml:space="preserve">, Zagreb-Koprivnica: Dr Feletar, 1994, 172-177. </w:t>
            </w:r>
          </w:p>
          <w:p w14:paraId="202125F0" w14:textId="77777777" w:rsidR="00E8408E" w:rsidRPr="00E8408E" w:rsidRDefault="00E8408E" w:rsidP="00E8408E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 xml:space="preserve">3. KATIČIĆ, Radoslav, </w:t>
            </w:r>
            <w:r w:rsidRPr="00E8408E">
              <w:rPr>
                <w:rFonts w:ascii="Merriweather" w:hAnsi="Merriweather" w:cs="Times New Roman"/>
                <w:i/>
                <w:sz w:val="18"/>
                <w:szCs w:val="18"/>
                <w:shd w:val="clear" w:color="auto" w:fill="FFFFFF"/>
              </w:rPr>
              <w:t>Litterarum studia. Književnost i naobrazba ranoga hrvatskog srednjovjekovlja</w:t>
            </w:r>
            <w:r w:rsidRPr="00E8408E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>, Zagreb: MH, 1998.</w:t>
            </w:r>
          </w:p>
          <w:p w14:paraId="32B9263B" w14:textId="77777777" w:rsidR="00E8408E" w:rsidRPr="00E8408E" w:rsidRDefault="00E8408E" w:rsidP="00E8408E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 xml:space="preserve">4. ORTHALI, Gherardo, CRACCO, Giorgio et al., </w:t>
            </w:r>
            <w:r w:rsidRPr="00E8408E">
              <w:rPr>
                <w:rFonts w:ascii="Merriweather" w:hAnsi="Merriweather" w:cs="Times New Roman"/>
                <w:i/>
                <w:sz w:val="18"/>
                <w:szCs w:val="18"/>
                <w:shd w:val="clear" w:color="auto" w:fill="FFFFFF"/>
              </w:rPr>
              <w:t>Povijest Venecije</w:t>
            </w:r>
            <w:r w:rsidRPr="00E8408E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>, sv. I., Zagreb: Antibarbarus, 2007.</w:t>
            </w:r>
          </w:p>
          <w:p w14:paraId="03FC6833" w14:textId="77777777" w:rsidR="00E8408E" w:rsidRPr="00E8408E" w:rsidRDefault="00E8408E" w:rsidP="00E8408E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 xml:space="preserve">5. RAUKAR, Tomislav, </w:t>
            </w:r>
            <w:r w:rsidRPr="00E8408E">
              <w:rPr>
                <w:rFonts w:ascii="Merriweather" w:hAnsi="Merriweather" w:cs="Times New Roman"/>
                <w:i/>
                <w:sz w:val="18"/>
                <w:szCs w:val="18"/>
                <w:shd w:val="clear" w:color="auto" w:fill="FFFFFF"/>
              </w:rPr>
              <w:t>Seljak i plemić hrvatskog srednjovjekovlja</w:t>
            </w:r>
            <w:r w:rsidRPr="00E8408E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>, Zagreb: FF Press, 2002.</w:t>
            </w:r>
          </w:p>
          <w:p w14:paraId="63D07860" w14:textId="053619F0" w:rsidR="00FC2198" w:rsidRPr="0017531F" w:rsidRDefault="00E8408E" w:rsidP="00E840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 xml:space="preserve">6. RAUKAR, Tomislav, </w:t>
            </w:r>
            <w:r w:rsidRPr="00E8408E">
              <w:rPr>
                <w:rFonts w:ascii="Merriweather" w:hAnsi="Merriweather" w:cs="Times New Roman"/>
                <w:i/>
                <w:sz w:val="18"/>
                <w:szCs w:val="18"/>
                <w:shd w:val="clear" w:color="auto" w:fill="FFFFFF"/>
              </w:rPr>
              <w:t>Srednjovjekovne ekonomije i hrvatska društva</w:t>
            </w:r>
            <w:r w:rsidRPr="00E8408E">
              <w:rPr>
                <w:rFonts w:ascii="Merriweather" w:hAnsi="Merriweather" w:cs="Times New Roman"/>
                <w:sz w:val="18"/>
                <w:szCs w:val="18"/>
                <w:shd w:val="clear" w:color="auto" w:fill="FFFFFF"/>
              </w:rPr>
              <w:t>, Zagreb: FF Press, 2003.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1DCBDAA9" w:rsidR="00FC2198" w:rsidRPr="0017531F" w:rsidRDefault="00E8408E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-</w:t>
            </w: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17531F" w:rsidRDefault="00713A8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71A57" w:rsidRPr="0017531F" w:rsidRDefault="00713A8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27447BCC" w:rsidR="00B71A57" w:rsidRPr="0017531F" w:rsidRDefault="00713A8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713A8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713A8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B71A57" w:rsidRPr="0017531F" w:rsidRDefault="00713A8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53DFF99" w:rsidR="00B71A57" w:rsidRPr="0017531F" w:rsidRDefault="00713A8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13D454CE" w:rsidR="00B71A57" w:rsidRPr="0017531F" w:rsidRDefault="00713A8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713A8F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713A8F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6E776732" w:rsidR="00FC2198" w:rsidRPr="00E8408E" w:rsidRDefault="00E8408E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E8408E">
              <w:rPr>
                <w:rFonts w:ascii="Merriweather" w:hAnsi="Merriweather" w:cs="Times New Roman"/>
                <w:sz w:val="18"/>
                <w:szCs w:val="18"/>
              </w:rPr>
              <w:t>Ukupna se ocjena zasniva na rezultatima pismenog i usmenog dijela ispita, kakvoći seminarskog rada i istraživanju zadane teme te prisutnosti i pripremi za predavanje.</w:t>
            </w:r>
          </w:p>
        </w:tc>
      </w:tr>
      <w:tr w:rsidR="00E8408E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E8408E" w:rsidRPr="0017531F" w:rsidRDefault="00E8408E" w:rsidP="00E8408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719A8C07" w:rsidR="00E8408E" w:rsidRPr="0033185F" w:rsidRDefault="00E8408E" w:rsidP="00E8408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33185F">
              <w:rPr>
                <w:rFonts w:ascii="Merriweather" w:hAnsi="Merriweather" w:cs="Times New Roman"/>
                <w:sz w:val="16"/>
                <w:szCs w:val="16"/>
              </w:rPr>
              <w:t>0-59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E8408E" w:rsidRPr="0017531F" w:rsidRDefault="00E8408E" w:rsidP="00E8408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E8408E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E8408E" w:rsidRPr="0017531F" w:rsidRDefault="00E8408E" w:rsidP="00E8408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50FAED34" w:rsidR="00E8408E" w:rsidRPr="0033185F" w:rsidRDefault="00E8408E" w:rsidP="00E8408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33185F">
              <w:rPr>
                <w:rFonts w:ascii="Merriweather" w:hAnsi="Merriweather" w:cs="Times New Roman"/>
                <w:sz w:val="16"/>
                <w:szCs w:val="16"/>
              </w:rPr>
              <w:t>60-69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E8408E" w:rsidRPr="0017531F" w:rsidRDefault="00E8408E" w:rsidP="00E8408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E8408E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E8408E" w:rsidRPr="0017531F" w:rsidRDefault="00E8408E" w:rsidP="00E8408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456AC17A" w:rsidR="00E8408E" w:rsidRPr="0033185F" w:rsidRDefault="00E8408E" w:rsidP="00E8408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33185F">
              <w:rPr>
                <w:rFonts w:ascii="Merriweather" w:hAnsi="Merriweather" w:cs="Times New Roman"/>
                <w:sz w:val="16"/>
                <w:szCs w:val="16"/>
              </w:rPr>
              <w:t>70-79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E8408E" w:rsidRPr="0017531F" w:rsidRDefault="00E8408E" w:rsidP="00E8408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E8408E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E8408E" w:rsidRPr="0017531F" w:rsidRDefault="00E8408E" w:rsidP="00E8408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2B8D3A24" w:rsidR="00E8408E" w:rsidRPr="0033185F" w:rsidRDefault="00E8408E" w:rsidP="00E8408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33185F">
              <w:rPr>
                <w:rFonts w:ascii="Merriweather" w:hAnsi="Merriweather" w:cs="Times New Roman"/>
                <w:sz w:val="16"/>
                <w:szCs w:val="16"/>
              </w:rPr>
              <w:t>80-89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E8408E" w:rsidRPr="0017531F" w:rsidRDefault="00E8408E" w:rsidP="00E8408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E8408E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E8408E" w:rsidRPr="0017531F" w:rsidRDefault="00E8408E" w:rsidP="00E8408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63FC423B" w:rsidR="00E8408E" w:rsidRPr="0033185F" w:rsidRDefault="00E8408E" w:rsidP="00E8408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33185F">
              <w:rPr>
                <w:rFonts w:ascii="Merriweather" w:hAnsi="Merriweather" w:cs="Times New Roman"/>
                <w:sz w:val="16"/>
                <w:szCs w:val="16"/>
              </w:rPr>
              <w:t>90-100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E8408E" w:rsidRPr="0017531F" w:rsidRDefault="00E8408E" w:rsidP="00E8408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713A8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713A8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713A8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713A8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713A8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1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36214626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9BCD0" w14:textId="77777777" w:rsidR="00713A8F" w:rsidRDefault="00713A8F" w:rsidP="009947BA">
      <w:pPr>
        <w:spacing w:before="0" w:after="0"/>
      </w:pPr>
      <w:r>
        <w:separator/>
      </w:r>
    </w:p>
  </w:endnote>
  <w:endnote w:type="continuationSeparator" w:id="0">
    <w:p w14:paraId="61BDE0E6" w14:textId="77777777" w:rsidR="00713A8F" w:rsidRDefault="00713A8F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alibri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99C90" w14:textId="77777777" w:rsidR="00713A8F" w:rsidRDefault="00713A8F" w:rsidP="009947BA">
      <w:pPr>
        <w:spacing w:before="0" w:after="0"/>
      </w:pPr>
      <w:r>
        <w:separator/>
      </w:r>
    </w:p>
  </w:footnote>
  <w:footnote w:type="continuationSeparator" w:id="0">
    <w:p w14:paraId="06F5EC24" w14:textId="77777777" w:rsidR="00713A8F" w:rsidRDefault="00713A8F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1047F"/>
    <w:rsid w:val="000422C6"/>
    <w:rsid w:val="000C0578"/>
    <w:rsid w:val="0010332B"/>
    <w:rsid w:val="001443A2"/>
    <w:rsid w:val="00150B32"/>
    <w:rsid w:val="0017531F"/>
    <w:rsid w:val="00197510"/>
    <w:rsid w:val="001C7C51"/>
    <w:rsid w:val="00226462"/>
    <w:rsid w:val="0022722C"/>
    <w:rsid w:val="0028545A"/>
    <w:rsid w:val="002E1CE6"/>
    <w:rsid w:val="002F2D22"/>
    <w:rsid w:val="00310F9A"/>
    <w:rsid w:val="00325589"/>
    <w:rsid w:val="00326091"/>
    <w:rsid w:val="0033185F"/>
    <w:rsid w:val="00357643"/>
    <w:rsid w:val="00371634"/>
    <w:rsid w:val="00386E9C"/>
    <w:rsid w:val="00393964"/>
    <w:rsid w:val="003D7529"/>
    <w:rsid w:val="003F11B6"/>
    <w:rsid w:val="003F17B8"/>
    <w:rsid w:val="00401AB2"/>
    <w:rsid w:val="0044003E"/>
    <w:rsid w:val="00453362"/>
    <w:rsid w:val="00461219"/>
    <w:rsid w:val="00470F6D"/>
    <w:rsid w:val="00483BC3"/>
    <w:rsid w:val="004B1B3D"/>
    <w:rsid w:val="004B553E"/>
    <w:rsid w:val="00507C65"/>
    <w:rsid w:val="00527C5F"/>
    <w:rsid w:val="005353ED"/>
    <w:rsid w:val="005514C3"/>
    <w:rsid w:val="005B0B33"/>
    <w:rsid w:val="005E1668"/>
    <w:rsid w:val="005E5F80"/>
    <w:rsid w:val="005F6E0B"/>
    <w:rsid w:val="0062328F"/>
    <w:rsid w:val="00684BBC"/>
    <w:rsid w:val="006B4920"/>
    <w:rsid w:val="00700D7A"/>
    <w:rsid w:val="00713A8F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336F0"/>
    <w:rsid w:val="00865776"/>
    <w:rsid w:val="00874D5D"/>
    <w:rsid w:val="00882A15"/>
    <w:rsid w:val="00891C60"/>
    <w:rsid w:val="008942F0"/>
    <w:rsid w:val="008D45DB"/>
    <w:rsid w:val="0090214F"/>
    <w:rsid w:val="009163E6"/>
    <w:rsid w:val="00950C63"/>
    <w:rsid w:val="00962187"/>
    <w:rsid w:val="009760E8"/>
    <w:rsid w:val="009947BA"/>
    <w:rsid w:val="00997F41"/>
    <w:rsid w:val="009A3A9D"/>
    <w:rsid w:val="009C56B1"/>
    <w:rsid w:val="009D5226"/>
    <w:rsid w:val="009E2FD4"/>
    <w:rsid w:val="00A06750"/>
    <w:rsid w:val="00A9132B"/>
    <w:rsid w:val="00AA1A5A"/>
    <w:rsid w:val="00AB02BD"/>
    <w:rsid w:val="00AB46BD"/>
    <w:rsid w:val="00AD23FB"/>
    <w:rsid w:val="00B15BC1"/>
    <w:rsid w:val="00B20A83"/>
    <w:rsid w:val="00B71A57"/>
    <w:rsid w:val="00B7307A"/>
    <w:rsid w:val="00C02454"/>
    <w:rsid w:val="00C31C09"/>
    <w:rsid w:val="00C3477B"/>
    <w:rsid w:val="00C85956"/>
    <w:rsid w:val="00C9733D"/>
    <w:rsid w:val="00CA3783"/>
    <w:rsid w:val="00CB0153"/>
    <w:rsid w:val="00CB23F4"/>
    <w:rsid w:val="00CC054F"/>
    <w:rsid w:val="00D136E4"/>
    <w:rsid w:val="00D47CAE"/>
    <w:rsid w:val="00D5334D"/>
    <w:rsid w:val="00D5523D"/>
    <w:rsid w:val="00D944DF"/>
    <w:rsid w:val="00DD110C"/>
    <w:rsid w:val="00DE6D53"/>
    <w:rsid w:val="00DF1829"/>
    <w:rsid w:val="00E06E39"/>
    <w:rsid w:val="00E07D73"/>
    <w:rsid w:val="00E17D18"/>
    <w:rsid w:val="00E30E67"/>
    <w:rsid w:val="00E8408E"/>
    <w:rsid w:val="00E926E3"/>
    <w:rsid w:val="00EB5A72"/>
    <w:rsid w:val="00F02A8F"/>
    <w:rsid w:val="00F22855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customStyle="1" w:styleId="Default">
    <w:name w:val="Default"/>
    <w:rsid w:val="00E8408E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styles" Target="styles.xml"/><Relationship Id="rId10" Type="http://schemas.openxmlformats.org/officeDocument/2006/relationships/hyperlink" Target="mailto:vzovko@unizd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E5175D-E86A-424C-8A7C-B9D19953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2165</Words>
  <Characters>12342</Characters>
  <Application>Microsoft Office Word</Application>
  <DocSecurity>0</DocSecurity>
  <Lines>102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cp:lastPrinted>2021-02-12T11:27:00Z</cp:lastPrinted>
  <dcterms:created xsi:type="dcterms:W3CDTF">2025-09-28T04:35:00Z</dcterms:created>
  <dcterms:modified xsi:type="dcterms:W3CDTF">2025-09-28T04:35:00Z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