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0886D41" w:rsidR="004B553E" w:rsidRPr="00CD7D02" w:rsidRDefault="00CD7D0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3F9AFDA" w:rsidR="004B553E" w:rsidRPr="0017531F" w:rsidRDefault="00CD7D0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75C52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675C5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64BDC75" w:rsidR="004B553E" w:rsidRPr="00CD7D02" w:rsidRDefault="00CD7D0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Povijest i značaj religija u srednjovjekovnim hrvatskim zemljama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5B9CEB3" w:rsidR="004B553E" w:rsidRPr="00CD7D02" w:rsidRDefault="00CD7D0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22E2850" w:rsidR="004B553E" w:rsidRPr="00CD7D02" w:rsidRDefault="008F637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CD7D02" w:rsidRPr="00CD7D02">
              <w:rPr>
                <w:rFonts w:ascii="Merriweather" w:hAnsi="Merriweather" w:cs="Times New Roman"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CD7D02" w:rsidRPr="00CD7D02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CD7D02" w:rsidRPr="00CD7D02">
              <w:rPr>
                <w:rFonts w:ascii="Merriweather" w:hAnsi="Merriweather" w:cs="Times New Roman"/>
                <w:sz w:val="18"/>
                <w:szCs w:val="18"/>
              </w:rPr>
              <w:t xml:space="preserve">studij povijesti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F46EDDD" w:rsidR="004B553E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8F6376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EB0DD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10EFDEF" w:rsidR="004B553E" w:rsidRPr="0017531F" w:rsidRDefault="00EB0D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19184E8" w:rsidR="004B553E" w:rsidRPr="0017531F" w:rsidRDefault="00EB0D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389354B" w:rsidR="004B553E" w:rsidRPr="0017531F" w:rsidRDefault="00EB0D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EB0D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EB0D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5ED8088" w:rsidR="004B553E" w:rsidRPr="0017531F" w:rsidRDefault="00EB0DD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EB0D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154CF0B" w:rsidR="004B553E" w:rsidRPr="0017531F" w:rsidRDefault="00EB0D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EB0D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2277ADAD" w:rsidR="004B553E" w:rsidRPr="0017531F" w:rsidRDefault="00EB0D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EB0D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35D8658D" w:rsidR="004B553E" w:rsidRPr="0017531F" w:rsidRDefault="00EB0D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667ACF79" w:rsidR="00393964" w:rsidRPr="0017531F" w:rsidRDefault="00EB0DD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4B6CE33" w:rsidR="00393964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6A519EA" w:rsidR="00393964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CFFC5D6" w:rsidR="00453362" w:rsidRPr="0017531F" w:rsidRDefault="00CD7D0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B5561AF" w:rsidR="00453362" w:rsidRPr="0017531F" w:rsidRDefault="00CD7D0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591403B" w:rsidR="00453362" w:rsidRPr="0017531F" w:rsidRDefault="00CD7D0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F203371" w:rsidR="00453362" w:rsidRPr="00CD7D02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DB59B3B" w:rsidR="00453362" w:rsidRPr="00CD7D02" w:rsidRDefault="00CD7D0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7A6C651" w:rsidR="00453362" w:rsidRPr="00CD7D02" w:rsidRDefault="00675C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21ED58B" w:rsidR="00453362" w:rsidRPr="00CD7D02" w:rsidRDefault="00675C5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FD0F1DF" w:rsidR="00453362" w:rsidRPr="00CD7D02" w:rsidRDefault="00CD7D0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nema posebnih uvjeta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B4103D8" w:rsidR="00453362" w:rsidRPr="00CD7D02" w:rsidRDefault="00CD7D0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Izv. prof. dr. 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F9A1718" w:rsidR="00CD7D02" w:rsidRPr="00CD7D02" w:rsidRDefault="00EB0DD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CD7D02" w:rsidRPr="00CD7D02">
                <w:rPr>
                  <w:rStyle w:val="Hiperveza"/>
                  <w:rFonts w:ascii="Merriweather" w:hAnsi="Merriweather" w:cs="Times New Roman"/>
                  <w:sz w:val="18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CAA6B8B" w:rsidR="00453362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CD1BB1B" w:rsidR="00453362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EB13998" w:rsidR="00453362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1DDB4D3E" w:rsidR="00453362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F1EA01F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- upoznati studente/ice s duhovnom, intelektualnom i institucionalnom dimenzijom srednjovjekovnih religija na tlu srednjovjekovne Hrvatske</w:t>
            </w:r>
          </w:p>
          <w:p w14:paraId="04F1C911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- prikazati razloge pojave, razvoj, značaj te oblike susprezanja krivovjernih učenja</w:t>
            </w:r>
          </w:p>
          <w:p w14:paraId="4ABB31C5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- dati pregled razvoja teološke misli dominantnih religija (kršćanstvo, židovstvo, islam, pravoslavlje)  </w:t>
            </w:r>
          </w:p>
          <w:p w14:paraId="0A712CEF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- ukazati na značaj razvoja mreže biskupija</w:t>
            </w:r>
          </w:p>
          <w:p w14:paraId="32D5828D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- dati prikaz razvoja redovništva i djelovanja istaknutih svjetovnih i crkvenih osoba </w:t>
            </w:r>
          </w:p>
          <w:p w14:paraId="43FE17C4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- analizirati odnos Crkve, teološke misli i praksi prema sekularnom društvu (uključujući političke, ekonomske i društvene poluge moći)  </w:t>
            </w:r>
          </w:p>
          <w:p w14:paraId="05E28B0E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- ukazati na doprinos pojedinih crkvenih redova razvoju znanstvene misli, umjetnosti, arhitekturi i školstvu </w:t>
            </w:r>
          </w:p>
          <w:p w14:paraId="748E1F7B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- ukazati na njihov utjecaj u svakodnevnom životu na hrvatskom srednjovjekovnom prostoru</w:t>
            </w:r>
          </w:p>
          <w:p w14:paraId="13E2A08B" w14:textId="0B5AA467" w:rsidR="00310F9A" w:rsidRPr="0017531F" w:rsidRDefault="00CD7D02" w:rsidP="00CD7D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- uočiti proplitanje i utjecaje, kultorološke i vjerske razmjene između kršćana, Židova, muslimana i pravoslavnih vjernika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9B4725F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6A944BF9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63388C4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212A3F8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PPJ4 – zapamtiti temeljne podatke iz hrvatske i svjetske povijesti, </w:t>
            </w:r>
          </w:p>
          <w:p w14:paraId="70290F9F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72493F3E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F0C30B8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11B60526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0EF0317D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2FA7421B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E9FDA67" w14:textId="77777777" w:rsidR="00CD7D02" w:rsidRPr="00CD7D02" w:rsidRDefault="00CD7D02" w:rsidP="00CD7D02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158A7E08" w14:textId="77777777" w:rsidR="00CD7D02" w:rsidRPr="00CD7D02" w:rsidRDefault="00CD7D02" w:rsidP="00CD7D02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7D11BFDC" w14:textId="77777777" w:rsidR="00CD7D02" w:rsidRPr="00CD7D02" w:rsidRDefault="00CD7D02" w:rsidP="00CD7D02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CFA5BA6" w14:textId="77777777" w:rsidR="00CD7D02" w:rsidRPr="00CD7D02" w:rsidRDefault="00CD7D02" w:rsidP="00CD7D02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1B9ACB8B" w:rsidR="00310F9A" w:rsidRPr="0017531F" w:rsidRDefault="00CD7D02" w:rsidP="00CD7D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1DE6AF8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84CAF0B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7F5B5F4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E0E1C65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67730D1C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A4D1834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A6B8D2D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1F0F43F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A03CB0D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EB0D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62888CF" w:rsidR="00FC2198" w:rsidRPr="00CD7D02" w:rsidRDefault="00CD7D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CD7D02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Studenti trebaju redovito pohađati predavanja, čitati predviđene tekstove i sudjelovati u raspravi na predavanju. Od studenata se očekuje izrada eseja/seminarskog rada i sudjelovanje u raspravama o zadanim seminarskim temama.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FF068A6" w:rsidR="00FC2198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DACABEA" w:rsidR="00FC2198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3CCF5C3" w14:textId="77777777" w:rsidR="00FC2198" w:rsidRPr="00CD7D02" w:rsidRDefault="00CD7D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1.Uvodno predavanje – upoznavanje studenata s predmetom, njihovim obavezama i ispitnom literaturom</w:t>
            </w:r>
          </w:p>
          <w:p w14:paraId="18FD3267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Seminar: upoznavanje studenata s ciljevima i zadacima seminarskog dijela nastave. Dodjela seminarskih tema i termina izlaganja </w:t>
            </w:r>
          </w:p>
          <w:p w14:paraId="448356EF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2. Kršćanstvo i njegov srednjeovjekovni razvoj </w:t>
            </w:r>
          </w:p>
          <w:p w14:paraId="7DAAED88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21676B07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3. Benediktinci</w:t>
            </w:r>
          </w:p>
          <w:p w14:paraId="17819F52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62C9D3F8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4. Franjevci i dominikaci</w:t>
            </w:r>
          </w:p>
          <w:p w14:paraId="73D5C05C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6A417F82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5. Pavlini </w:t>
            </w:r>
          </w:p>
          <w:p w14:paraId="6DC58241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4D22E442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6. Laički i treći redovi </w:t>
            </w:r>
          </w:p>
          <w:p w14:paraId="4E9BA080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43693740" w14:textId="6FAAED1E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7. Osnutak i razvitak mreže biskupija</w:t>
            </w:r>
            <w:r w:rsidR="00AD29AC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AD29AC">
              <w:rPr>
                <w:rFonts w:ascii="Merriweather" w:hAnsi="Merriweather" w:cs="Times New Roman"/>
                <w:sz w:val="18"/>
                <w:szCs w:val="18"/>
              </w:rPr>
              <w:t>Održavanje i provedba kolokvija.</w:t>
            </w:r>
            <w:bookmarkStart w:id="0" w:name="_GoBack"/>
            <w:bookmarkEnd w:id="0"/>
          </w:p>
          <w:p w14:paraId="3679698B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6AD2C46C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8. Problem hereza u srednjem vijeku </w:t>
            </w:r>
          </w:p>
          <w:p w14:paraId="32C655A7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7DD0A93A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9. Hagiografija (Kult svetaca. Proces beatifikacije i kanonizacije. Razlika između svjetovnog i profanog. Hodočašća)</w:t>
            </w:r>
          </w:p>
          <w:p w14:paraId="48F913CD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lastRenderedPageBreak/>
              <w:t>Seminar: izlaganje seminarskog rada. Obrada, komentiranje i rasprava o relevantim materijalima koje su studenti dobili za čitanje</w:t>
            </w:r>
          </w:p>
          <w:p w14:paraId="16797186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10. Pravoslavlje i hrvatske zemlje</w:t>
            </w:r>
          </w:p>
          <w:p w14:paraId="4C04D12F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6FD9D80E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11. Židovi na tlu hrvatskih srednjovjekovnih zemalja</w:t>
            </w:r>
          </w:p>
          <w:p w14:paraId="13428514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79F80AA2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12. Islam i hrvatske zemlje </w:t>
            </w:r>
          </w:p>
          <w:p w14:paraId="3BBCD5CC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5662D125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13. Međureligijski odnosi, kontakti i prožimanja</w:t>
            </w:r>
          </w:p>
          <w:p w14:paraId="27FE50B5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626B088B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14. Dostignuća crkvenih redova: znanost, školstvo, umjetnost i sakralna kultura </w:t>
            </w:r>
          </w:p>
          <w:p w14:paraId="3F339FB4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3A8282C0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15. Ponavljanje i sinteza</w:t>
            </w:r>
          </w:p>
          <w:p w14:paraId="6E3A408E" w14:textId="3BDEC8BB" w:rsidR="00CD7D02" w:rsidRPr="0017531F" w:rsidRDefault="00CD7D02" w:rsidP="00CD7D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zaključna razmatranja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87D7EF7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1. Josip Buturac, Antun Ivandija,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Povijest katoličke crkve među Hrvatima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Zagreb, 1973. </w:t>
            </w:r>
          </w:p>
          <w:p w14:paraId="717C958E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2. Franjo Šanjek,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Crkva i kršćanstvo u Hrvata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Zagreb, 1988.</w:t>
            </w:r>
          </w:p>
          <w:p w14:paraId="0B89B5BE" w14:textId="538261E5" w:rsidR="00FC2198" w:rsidRPr="0017531F" w:rsidRDefault="00CD7D02" w:rsidP="00CD7D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3. Franjo Šanjek,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Kršćanstvo na hrvatskom prostoru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Zagreb, 1991.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F3CD32D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1.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Beyond Religious Borders: Interaction and Intellectual Exchange in the Medieval Islamic World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D. M. Friedenreich i M. Goldstein (ur.), Philadelphia, 2012.</w:t>
            </w:r>
          </w:p>
          <w:p w14:paraId="6B7E4CBF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2. N. Bisaha,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Creating East and West: Renaissance Humanists and the Ottoman Turks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Philadelphia, 2004.</w:t>
            </w:r>
          </w:p>
          <w:p w14:paraId="67532EB3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3. L. Dobronić,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Viteški redovi i ivanovci u Hrvatskoj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Zagreb, 1984.</w:t>
            </w:r>
          </w:p>
          <w:p w14:paraId="7D3377D8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4. T. Eggensperger i U. Engel,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Dominikanci u svijetu i na hrvatskim prostorima: povijest, duhovnost, aktualni projekti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Zagreb, 2003.</w:t>
            </w:r>
          </w:p>
          <w:p w14:paraId="3A898C1C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5. J. Elukin,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Living Together, Living Apart: Rethinking Jewish-Christian Relations in the Middle Ages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Princeton, 2007.</w:t>
            </w:r>
          </w:p>
          <w:p w14:paraId="49D0E4B7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6. F. E. Hoško,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Franjevci i poslanje Crkve u kontinentalnoj Hrvatskoj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Zagreb, 2001.</w:t>
            </w:r>
          </w:p>
          <w:p w14:paraId="6DE31273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7. S. Krasić,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Dominikanci, povijest Reda u hrvatskim zemljama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Zagreb, 1997. </w:t>
            </w:r>
          </w:p>
          <w:p w14:paraId="59136F71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8.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History as Prelude: Muslims and Jews in the Medieval Mediterranean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J. V. Montville, (ur.), Lanham, 2011.</w:t>
            </w:r>
          </w:p>
          <w:p w14:paraId="59A7246E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9. R. I. Moore,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The War on Heresy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Cambridge, 2012.</w:t>
            </w:r>
          </w:p>
          <w:p w14:paraId="7C2D7CC1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10. D. Nirenberg,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Neighboring Faiths: Christianity, Islam, and Judaism in the Middle Ages and Today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Chicago, 2014.</w:t>
            </w:r>
          </w:p>
          <w:p w14:paraId="7817EE6C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11. I. Ostojić,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Benediktinci u Hrvatskoj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sv. I-III, Split, 1963.-64. </w:t>
            </w:r>
          </w:p>
          <w:p w14:paraId="49229E3E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12. L. J. Sackville,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Heresy and Heretics in the Thirteenth Century: The Textual Representations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York, 2014.</w:t>
            </w:r>
          </w:p>
          <w:p w14:paraId="501D97D9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13. A. Sekulić,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Prinos povijesti hrvatskih pavlina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Zagreb, 1988.</w:t>
            </w:r>
          </w:p>
          <w:p w14:paraId="1A574C2E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14.  B. Stulli,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Židovi u Dubrovniku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Zagreb, 1989. </w:t>
            </w:r>
          </w:p>
          <w:p w14:paraId="22124D37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15.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Suveremena katolička enciklopedija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I-IV, M. Glazier i M. K. Hellwig (ur.), Split, 2005. </w:t>
            </w:r>
          </w:p>
          <w:p w14:paraId="3328FBEA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16. F. Šanjek,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Dominikanci i Hrvati: osam stoljeća zajedništva (13.-21. stoljeće)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Zagreb, 2008. </w:t>
            </w:r>
          </w:p>
          <w:p w14:paraId="46551E0B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17. F. Šanjek, Ivica Tomljenović, „Dominikanci i razvoj školstva u srednjovjekovnoj Hrvatskoj“,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Croatica christiana periodica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17/1986., 48-73.</w:t>
            </w:r>
          </w:p>
          <w:p w14:paraId="4A6E6443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18.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Zbornik radova 1000 godina samostana sv. Krševana u Zadru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Zadar, 1990. </w:t>
            </w:r>
          </w:p>
          <w:p w14:paraId="08093722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19.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Zbornik radova Kulturna baština samostana sv. Marije u Zadru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Zadar, 1968. </w:t>
            </w:r>
          </w:p>
          <w:p w14:paraId="63D07860" w14:textId="6494D031" w:rsidR="00FC2198" w:rsidRPr="0017531F" w:rsidRDefault="00CD7D02" w:rsidP="00CD7D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20.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Zbornik radova sa znanstvenog skupa u povodu tisuću godina uspostave Dubrovačke (nad)biskupije/metropolije (998.-1998.)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Ž. Puljić i N. A. Ančić (ur.), Split-Dubrovnik, 2001.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4C20A461" w:rsidR="00FC2198" w:rsidRPr="0017531F" w:rsidRDefault="00CD7D0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EB0D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EB0D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EB0D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EB0D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EB0D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EB0D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EB0D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4101B993" w:rsidR="00B71A57" w:rsidRPr="0017531F" w:rsidRDefault="00EB0D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EB0DD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EB0DD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B3A936C" w14:textId="77777777" w:rsidR="00CD7D02" w:rsidRPr="00CD7D02" w:rsidRDefault="00CD7D02" w:rsidP="00CD7D0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Ukupna se ocjena zasniva na rezultatima uspješno napisanog i izloženog seminarskog rada, istraživanju zadane teme, pripremi za predavanje i rezultatima usmenog dijela ispita. </w:t>
            </w:r>
          </w:p>
          <w:p w14:paraId="21367E50" w14:textId="77777777" w:rsidR="00CD7D02" w:rsidRPr="00CD7D02" w:rsidRDefault="00CD7D02" w:rsidP="00CD7D02">
            <w:pPr>
              <w:jc w:val="both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bCs/>
                <w:sz w:val="18"/>
                <w:szCs w:val="18"/>
              </w:rPr>
              <w:lastRenderedPageBreak/>
              <w:t xml:space="preserve">U slučaju neispunjavanja neke od obaveza studentu/ici neće biti dozvoljeno pristupanje završnom ispitu i ostvarivanje zaključne ocjene. </w:t>
            </w:r>
          </w:p>
          <w:p w14:paraId="646F7F3F" w14:textId="42988201" w:rsidR="00FC2198" w:rsidRPr="0017531F" w:rsidRDefault="00CD7D02" w:rsidP="00CD7D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Ocjena seminarskog rada obuhvaća njegovu vrsnost u pisanom obliku (izrađenog prema metodološko-znanstvenim načelima struke) te uspješnost u usmenoj elaboraciji temeljnih problema, njihovoj argumentaciji i vođenju diskusije po izlaganju. Njegova ukupna valorizacija zamjenjuje ocjenu iz pismenog i usmenog dijela ispita.</w:t>
            </w:r>
          </w:p>
        </w:tc>
      </w:tr>
      <w:tr w:rsidR="00050EA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50EAD" w:rsidRPr="0017531F" w:rsidRDefault="00050EAD" w:rsidP="00050EA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021EE4A" w:rsidR="00050EAD" w:rsidRPr="00050EAD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0EAD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050EAD" w:rsidRPr="0017531F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50EA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50EAD" w:rsidRPr="0017531F" w:rsidRDefault="00050EAD" w:rsidP="00050EA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0BF3580" w:rsidR="00050EAD" w:rsidRPr="00050EAD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0EAD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050EAD" w:rsidRPr="0017531F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50EA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50EAD" w:rsidRPr="0017531F" w:rsidRDefault="00050EAD" w:rsidP="00050EA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2740DD9" w:rsidR="00050EAD" w:rsidRPr="00050EAD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0EAD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050EAD" w:rsidRPr="0017531F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50EA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50EAD" w:rsidRPr="0017531F" w:rsidRDefault="00050EAD" w:rsidP="00050EA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94406F6" w:rsidR="00050EAD" w:rsidRPr="00050EAD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0EAD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050EAD" w:rsidRPr="0017531F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50EA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50EAD" w:rsidRPr="0017531F" w:rsidRDefault="00050EAD" w:rsidP="00050EA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1CBFB76" w:rsidR="00050EAD" w:rsidRPr="00050EAD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0EAD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050EAD" w:rsidRPr="0017531F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0B7B6CEF" w:rsidR="00FC2198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EB0D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855970A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9C07" w14:textId="77777777" w:rsidR="00EB0DD6" w:rsidRDefault="00EB0DD6" w:rsidP="009947BA">
      <w:pPr>
        <w:spacing w:before="0" w:after="0"/>
      </w:pPr>
      <w:r>
        <w:separator/>
      </w:r>
    </w:p>
  </w:endnote>
  <w:endnote w:type="continuationSeparator" w:id="0">
    <w:p w14:paraId="6C83FC36" w14:textId="77777777" w:rsidR="00EB0DD6" w:rsidRDefault="00EB0DD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9C9B4" w14:textId="77777777" w:rsidR="00EB0DD6" w:rsidRDefault="00EB0DD6" w:rsidP="009947BA">
      <w:pPr>
        <w:spacing w:before="0" w:after="0"/>
      </w:pPr>
      <w:r>
        <w:separator/>
      </w:r>
    </w:p>
  </w:footnote>
  <w:footnote w:type="continuationSeparator" w:id="0">
    <w:p w14:paraId="44006084" w14:textId="77777777" w:rsidR="00EB0DD6" w:rsidRDefault="00EB0DD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50EAD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60D31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E2FDE"/>
    <w:rsid w:val="00507C65"/>
    <w:rsid w:val="00527C5F"/>
    <w:rsid w:val="005353ED"/>
    <w:rsid w:val="005514C3"/>
    <w:rsid w:val="005E1668"/>
    <w:rsid w:val="005E5F80"/>
    <w:rsid w:val="005F6E0B"/>
    <w:rsid w:val="0062328F"/>
    <w:rsid w:val="00642F6C"/>
    <w:rsid w:val="00665BCD"/>
    <w:rsid w:val="00675C52"/>
    <w:rsid w:val="00684BBC"/>
    <w:rsid w:val="006A6965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D45DB"/>
    <w:rsid w:val="008F6376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9F140C"/>
    <w:rsid w:val="00A06750"/>
    <w:rsid w:val="00A9132B"/>
    <w:rsid w:val="00AA1A5A"/>
    <w:rsid w:val="00AB46BD"/>
    <w:rsid w:val="00AD23FB"/>
    <w:rsid w:val="00AD29AC"/>
    <w:rsid w:val="00B05A77"/>
    <w:rsid w:val="00B71A57"/>
    <w:rsid w:val="00B7307A"/>
    <w:rsid w:val="00B83E5D"/>
    <w:rsid w:val="00BA646C"/>
    <w:rsid w:val="00C02454"/>
    <w:rsid w:val="00C3477B"/>
    <w:rsid w:val="00C85956"/>
    <w:rsid w:val="00C9733D"/>
    <w:rsid w:val="00CA3783"/>
    <w:rsid w:val="00CB23F4"/>
    <w:rsid w:val="00CD7D02"/>
    <w:rsid w:val="00D136E4"/>
    <w:rsid w:val="00D50C26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0DD6"/>
    <w:rsid w:val="00EB5A72"/>
    <w:rsid w:val="00ED70DE"/>
    <w:rsid w:val="00F02A8F"/>
    <w:rsid w:val="00F22855"/>
    <w:rsid w:val="00F513E0"/>
    <w:rsid w:val="00F566CF"/>
    <w:rsid w:val="00F566DA"/>
    <w:rsid w:val="00F74BB7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CD7D02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vzovko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B821C-E58D-4C91-AFE2-8A289889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1910</Words>
  <Characters>10891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vzovko@unizd.hr</cp:lastModifiedBy>
  <cp:revision>2</cp:revision>
  <cp:lastPrinted>2021-02-12T11:27:00Z</cp:lastPrinted>
  <dcterms:created xsi:type="dcterms:W3CDTF">2024-09-17T07:23:00Z</dcterms:created>
  <dcterms:modified xsi:type="dcterms:W3CDTF">2024-09-17T07:23:00Z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