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0237F0" w:rsidRDefault="000237F0" w:rsidP="0079745E">
            <w:pPr>
              <w:spacing w:before="20" w:after="20"/>
              <w:rPr>
                <w:rFonts w:ascii="Times New Roman" w:hAnsi="Times New Roman" w:cs="Times New Roman"/>
                <w:b/>
                <w:sz w:val="20"/>
                <w:szCs w:val="20"/>
              </w:rPr>
            </w:pPr>
            <w:r w:rsidRPr="000237F0">
              <w:rPr>
                <w:rFonts w:ascii="Times New Roman" w:hAnsi="Times New Roman" w:cs="Times New Roman"/>
                <w:sz w:val="20"/>
                <w:szCs w:val="20"/>
              </w:rPr>
              <w:t>Dubrovačka Republika u vrijeme humanizma i renesanse</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0237F0" w:rsidP="0079745E">
            <w:pPr>
              <w:spacing w:before="20" w:after="20"/>
              <w:jc w:val="center"/>
              <w:rPr>
                <w:rFonts w:ascii="Times New Roman" w:hAnsi="Times New Roman" w:cs="Times New Roman"/>
                <w:sz w:val="20"/>
              </w:rPr>
            </w:pPr>
            <w:r>
              <w:rPr>
                <w:rFonts w:ascii="Times New Roman" w:hAnsi="Times New Roman" w:cs="Times New Roman"/>
                <w:sz w:val="20"/>
              </w:rPr>
              <w:t>2020./2021</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0237F0" w:rsidP="0079745E">
            <w:pPr>
              <w:spacing w:before="20" w:after="20"/>
              <w:rPr>
                <w:rFonts w:ascii="Times New Roman" w:hAnsi="Times New Roman" w:cs="Times New Roman"/>
                <w:sz w:val="20"/>
              </w:rPr>
            </w:pPr>
            <w:r>
              <w:rPr>
                <w:rFonts w:ascii="Times New Roman" w:hAnsi="Times New Roman" w:cs="Times New Roman"/>
                <w:sz w:val="20"/>
                <w:szCs w:val="20"/>
              </w:rPr>
              <w:t>diplomski sveučilišni studij povijesti (jednopredmetni i dvopredmetni)</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9E40EC" w:rsidRDefault="009E40EC" w:rsidP="0079745E">
            <w:pPr>
              <w:spacing w:before="20" w:after="20"/>
              <w:jc w:val="center"/>
              <w:rPr>
                <w:rFonts w:ascii="Times New Roman" w:hAnsi="Times New Roman" w:cs="Times New Roman"/>
                <w:sz w:val="20"/>
              </w:rPr>
            </w:pPr>
            <w:bookmarkStart w:id="0" w:name="_GoBack"/>
            <w:r w:rsidRPr="009E40EC">
              <w:rPr>
                <w:rFonts w:ascii="Times New Roman" w:hAnsi="Times New Roman" w:cs="Times New Roman"/>
                <w:sz w:val="20"/>
              </w:rPr>
              <w:t>4</w:t>
            </w:r>
            <w:bookmarkEnd w:id="0"/>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0237F0" w:rsidP="0079745E">
            <w:pPr>
              <w:spacing w:before="20" w:after="20"/>
              <w:rPr>
                <w:rFonts w:ascii="Times New Roman" w:hAnsi="Times New Roman" w:cs="Times New Roman"/>
                <w:sz w:val="20"/>
              </w:rPr>
            </w:pPr>
            <w:r>
              <w:rPr>
                <w:rFonts w:ascii="Times New Roman" w:hAnsi="Times New Roman" w:cs="Times New Roman"/>
                <w:sz w:val="20"/>
              </w:rPr>
              <w:t>Odjel za povijest</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67006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67006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67006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67006D"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67006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67006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67006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67006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67006D"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67006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67006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67006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67006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67006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67006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67006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0237F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67006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67006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67006D"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67006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67006D"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0237F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0237F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0237F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67006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0237F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Default="000237F0"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DHM</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0237F0"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E40EC" w:rsidP="009A284F">
            <w:pPr>
              <w:spacing w:before="20" w:after="20"/>
              <w:jc w:val="center"/>
              <w:rPr>
                <w:rFonts w:ascii="Times New Roman" w:hAnsi="Times New Roman" w:cs="Times New Roman"/>
                <w:b/>
                <w:sz w:val="18"/>
                <w:szCs w:val="20"/>
              </w:rPr>
            </w:pPr>
            <w:r>
              <w:rPr>
                <w:rFonts w:ascii="Times New Roman" w:hAnsi="Times New Roman" w:cs="Times New Roman"/>
                <w:sz w:val="18"/>
              </w:rPr>
              <w:t xml:space="preserve">23. </w:t>
            </w:r>
            <w:r w:rsidR="000237F0">
              <w:rPr>
                <w:rFonts w:ascii="Times New Roman" w:hAnsi="Times New Roman" w:cs="Times New Roman"/>
                <w:sz w:val="18"/>
              </w:rPr>
              <w:t>2.</w:t>
            </w:r>
            <w:r>
              <w:rPr>
                <w:rFonts w:ascii="Times New Roman" w:hAnsi="Times New Roman" w:cs="Times New Roman"/>
                <w:sz w:val="18"/>
              </w:rPr>
              <w:t xml:space="preserve"> </w:t>
            </w:r>
            <w:r w:rsidR="000237F0">
              <w:rPr>
                <w:rFonts w:ascii="Times New Roman" w:hAnsi="Times New Roman" w:cs="Times New Roman"/>
                <w:sz w:val="18"/>
              </w:rPr>
              <w:t>2021.</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E40EC"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2. </w:t>
            </w:r>
            <w:r w:rsidR="00202C0B">
              <w:rPr>
                <w:rFonts w:ascii="Times New Roman" w:hAnsi="Times New Roman" w:cs="Times New Roman"/>
                <w:sz w:val="18"/>
                <w:szCs w:val="20"/>
              </w:rPr>
              <w:t>6.</w:t>
            </w:r>
            <w:r>
              <w:rPr>
                <w:rFonts w:ascii="Times New Roman" w:hAnsi="Times New Roman" w:cs="Times New Roman"/>
                <w:sz w:val="18"/>
                <w:szCs w:val="20"/>
              </w:rPr>
              <w:t xml:space="preserve"> </w:t>
            </w:r>
            <w:r w:rsidR="00202C0B">
              <w:rPr>
                <w:rFonts w:ascii="Times New Roman" w:hAnsi="Times New Roman" w:cs="Times New Roman"/>
                <w:sz w:val="18"/>
                <w:szCs w:val="20"/>
              </w:rPr>
              <w:t>2021.</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posebnih uvjeta.</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doc. dr. sc. Valentina Šoštarić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vzovko@unizd.hr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ponedjeljkom 10-12h</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67006D"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studenti/ce će se osposobiti za prepoznavanje, analiziranje te interpretiranje temeljnih procesa društveno-političkih, gospodarskih, vjerskih i kulturoloških struktura Dubrovačke Republike na razmeđi kasnosrednjovjekovlja i ranog novog vijeka;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studenti/ce će se upoznati s osnovnim teorijskim i metodološkim pretpostavkama za promišljanje problemskih sklopova u okviru komparativnog povijesnog pristupa;</w:t>
            </w:r>
          </w:p>
          <w:p w:rsidR="00785CAA" w:rsidRPr="00202C0B" w:rsidRDefault="00202C0B" w:rsidP="00202C0B">
            <w:pPr>
              <w:tabs>
                <w:tab w:val="left" w:pos="1218"/>
              </w:tabs>
              <w:spacing w:before="20" w:after="20"/>
              <w:jc w:val="both"/>
              <w:rPr>
                <w:rFonts w:ascii="Times New Roman" w:hAnsi="Times New Roman" w:cs="Times New Roman"/>
                <w:sz w:val="20"/>
                <w:szCs w:val="20"/>
              </w:rPr>
            </w:pPr>
            <w:r w:rsidRPr="00202C0B">
              <w:rPr>
                <w:rFonts w:ascii="Times New Roman" w:hAnsi="Times New Roman" w:cs="Times New Roman"/>
                <w:sz w:val="20"/>
                <w:szCs w:val="20"/>
              </w:rPr>
              <w:t>- uvažavajući sve plodonosne metodološke obrasce historijske znanosti, studenti/ce će se osposobiti za sagledavanje cjelovitosti povijesti dubrovačke države, kako u kontekstu velikih regija europske povijesti, tako i u kontekstu nacionalne povijesnice;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 studenti/ce će znati definirati, tumačiti te koristiti osnovne pojmove aktualne na prostoru Dubrovnika u razdoblju humanizma i renesanse te okolnih zemalja s kojima je grad ostvarivao kontakte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lastRenderedPageBreak/>
              <w:t>- studenti/ce će biti upoznati s opsežnom stručnom literaturom te će se osposobiti za vještine njezinog kritičkog vrednovanja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 studenti/ce će savladati temeljna znanja o povijesti i značaju jedne od ključnih civilizacija Mediterana u razdoblju kasnog srednjeg vijeka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 studenti/ce će biti meritorni valorizirati i smjestiti Dubrovnik i njegovu bogatu srednjovjekovnu prošlost u kontekst okružja ostalih tada aktualnih civilizacija Sredozemlja </w:t>
            </w:r>
          </w:p>
          <w:p w:rsidR="00202C0B" w:rsidRPr="00B4202A" w:rsidRDefault="00202C0B" w:rsidP="00202C0B">
            <w:pPr>
              <w:tabs>
                <w:tab w:val="left" w:pos="1218"/>
              </w:tabs>
              <w:spacing w:before="20" w:after="20"/>
              <w:jc w:val="both"/>
              <w:rPr>
                <w:rFonts w:ascii="Times New Roman" w:hAnsi="Times New Roman" w:cs="Times New Roman"/>
                <w:sz w:val="18"/>
              </w:rPr>
            </w:pPr>
            <w:r w:rsidRPr="00202C0B">
              <w:rPr>
                <w:rFonts w:ascii="Times New Roman" w:hAnsi="Times New Roman" w:cs="Times New Roman"/>
                <w:sz w:val="20"/>
                <w:szCs w:val="20"/>
              </w:rPr>
              <w:t>- studenti/ce će temeljito upoznati dalekosežnu i značajnu ulogu Venecije, Ugarske, Bosne i Huma, Osmanskog Carstva i njihovog utjecaja na dubrovačku prošlost u razdoblju humanizma i renesanse</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PPJ1 – ispričati jasno i koncizno osnovni tijek povijesnih zbivanja od najstarijih vremena do suvremenosti,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PPJ2 – definirati i opisati povijesne događaje i procese svojstvene pojedinim povijesnim razdobljima i diferencirati specifičnosti pojedinih povijesnih razdoblja,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PPJ3 – zapamtiti ključne osobe iz pojedinih povijesnih razdoblja i prepričati temeljne podatke o njima,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PPJ4 – zapamtiti temeljne podatke iz hrvatske i svjetske povijesti,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PPJ5 – zapamtiti i opisati temeljne vrste povijesne literature i izvora,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PPJ6 – zapamtiti i opisati historiografske pravce i škole te valjano koristiti povijesnu terminologiju,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PPJ7 – prepričati pojedine povijesne izvore,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PPJ8 – objasniti uzročno-posljedične veze između povijesnih događaja i povijesnih procesa,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PPJ9 – prepoznati što je to povijesna interpretacija te prosuditi vrijednost pojedinih povijesnih interpretacija, </w:t>
            </w:r>
          </w:p>
          <w:p w:rsidR="00202C0B" w:rsidRPr="00D20283" w:rsidRDefault="00202C0B" w:rsidP="00202C0B">
            <w:pPr>
              <w:pStyle w:val="Default"/>
              <w:spacing w:after="25"/>
              <w:jc w:val="both"/>
              <w:rPr>
                <w:noProof/>
                <w:sz w:val="20"/>
                <w:szCs w:val="20"/>
                <w:lang w:val="hr-HR"/>
              </w:rPr>
            </w:pPr>
            <w:r w:rsidRPr="00D20283">
              <w:rPr>
                <w:noProof/>
                <w:sz w:val="20"/>
                <w:szCs w:val="20"/>
                <w:lang w:val="hr-HR"/>
              </w:rPr>
              <w:t xml:space="preserve">PPJ10 – izraziti svoje mišljenje o povijesnim događajima i povijesnim procesima, izvesti samostalne zaključke o pojedinim događajima i procesima te razlučiti bitno od nebitnoga u interpretacijama povijesnih događaja i procesa, </w:t>
            </w:r>
          </w:p>
          <w:p w:rsidR="00202C0B" w:rsidRPr="00D20283" w:rsidRDefault="00202C0B" w:rsidP="00202C0B">
            <w:pPr>
              <w:pStyle w:val="Default"/>
              <w:jc w:val="both"/>
              <w:rPr>
                <w:noProof/>
                <w:sz w:val="20"/>
                <w:szCs w:val="20"/>
                <w:lang w:val="hr-HR"/>
              </w:rPr>
            </w:pPr>
            <w:r w:rsidRPr="00D20283">
              <w:rPr>
                <w:noProof/>
                <w:sz w:val="20"/>
                <w:szCs w:val="20"/>
                <w:lang w:val="hr-HR"/>
              </w:rPr>
              <w:t xml:space="preserve">PPJ11 – usporediti povijesne procese u različitim razdobljima, odnosno povezati različite povijesne procese, </w:t>
            </w:r>
          </w:p>
          <w:p w:rsidR="00202C0B" w:rsidRPr="00D20283" w:rsidRDefault="00202C0B" w:rsidP="00202C0B">
            <w:pPr>
              <w:pStyle w:val="Default"/>
              <w:jc w:val="both"/>
              <w:rPr>
                <w:noProof/>
                <w:sz w:val="20"/>
                <w:szCs w:val="20"/>
                <w:lang w:val="hr-HR"/>
              </w:rPr>
            </w:pPr>
            <w:r w:rsidRPr="00D20283">
              <w:rPr>
                <w:noProof/>
                <w:sz w:val="20"/>
                <w:szCs w:val="20"/>
                <w:lang w:val="hr-HR"/>
              </w:rPr>
              <w:t>PPJ12 – locirati i analizirati razne vrste primarnih i sekundarnih povijesnih izvora,</w:t>
            </w:r>
          </w:p>
          <w:p w:rsidR="00202C0B" w:rsidRPr="00D20283" w:rsidRDefault="00202C0B" w:rsidP="00202C0B">
            <w:pPr>
              <w:pStyle w:val="Default"/>
              <w:jc w:val="both"/>
              <w:rPr>
                <w:noProof/>
                <w:sz w:val="20"/>
                <w:szCs w:val="20"/>
                <w:lang w:val="hr-HR"/>
              </w:rPr>
            </w:pPr>
            <w:r w:rsidRPr="00D20283">
              <w:rPr>
                <w:noProof/>
                <w:sz w:val="20"/>
                <w:szCs w:val="20"/>
                <w:lang w:val="hr-HR"/>
              </w:rPr>
              <w:t>PPJ13 – napisati jasan i koherentan rad u kojemu se prikazuje određena povijesna tema ili teza o odabranom historiografskom pitanju ili problemu,</w:t>
            </w:r>
          </w:p>
          <w:p w:rsidR="00202C0B" w:rsidRPr="00D20283" w:rsidRDefault="00202C0B" w:rsidP="00202C0B">
            <w:pPr>
              <w:pStyle w:val="Default"/>
              <w:jc w:val="both"/>
              <w:rPr>
                <w:noProof/>
                <w:sz w:val="20"/>
                <w:szCs w:val="20"/>
                <w:lang w:val="hr-HR"/>
              </w:rPr>
            </w:pPr>
            <w:r w:rsidRPr="00D20283">
              <w:rPr>
                <w:noProof/>
                <w:sz w:val="20"/>
                <w:szCs w:val="20"/>
                <w:lang w:val="hr-HR"/>
              </w:rPr>
              <w:t xml:space="preserve">PPJ14 – identificirati i objasniti temeljna načela funkcioniranja osnovnoškolske i srednjoškolske nastave povijesti, </w:t>
            </w:r>
          </w:p>
          <w:p w:rsidR="00785CAA" w:rsidRPr="00B4202A" w:rsidRDefault="00202C0B" w:rsidP="00202C0B">
            <w:pPr>
              <w:tabs>
                <w:tab w:val="left" w:pos="1218"/>
              </w:tabs>
              <w:spacing w:before="20" w:after="20"/>
              <w:rPr>
                <w:rFonts w:ascii="Times New Roman" w:hAnsi="Times New Roman" w:cs="Times New Roman"/>
                <w:sz w:val="18"/>
              </w:rPr>
            </w:pPr>
            <w:r w:rsidRPr="00D20283">
              <w:rPr>
                <w:rFonts w:ascii="Times New Roman" w:hAnsi="Times New Roman" w:cs="Times New Roman"/>
                <w:noProof/>
                <w:sz w:val="20"/>
                <w:szCs w:val="20"/>
              </w:rPr>
              <w:t>PPJ15 – pokazati profesionalnu odgovornost i poštivati etiku akademske zajednice.</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202C0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DE6D53" w:rsidRDefault="00202C0B" w:rsidP="0079745E">
            <w:pPr>
              <w:tabs>
                <w:tab w:val="left" w:pos="1218"/>
              </w:tabs>
              <w:spacing w:before="20" w:after="20"/>
              <w:rPr>
                <w:rFonts w:ascii="Times New Roman" w:hAnsi="Times New Roman" w:cs="Times New Roman"/>
                <w:i/>
                <w:sz w:val="18"/>
              </w:rPr>
            </w:pPr>
            <w:r w:rsidRPr="00D20283">
              <w:rPr>
                <w:rFonts w:ascii="Times New Roman" w:eastAsia="Calibri" w:hAnsi="Times New Roman" w:cs="Times New Roman"/>
                <w:sz w:val="20"/>
                <w:szCs w:val="20"/>
                <w:lang w:eastAsia="hr-HR"/>
              </w:rPr>
              <w:t>Studenti trebaju redovito pohađati predavanja, čitati predviđene tekstove i sudjelovati u raspravi na predavanju. Od studenata se očekuje izrada eseja/seminarskog rada i sudjelovanje u raspravama o zadanim seminarskim temama.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2471" w:type="dxa"/>
            <w:gridSpan w:val="10"/>
            <w:vAlign w:val="center"/>
          </w:tcPr>
          <w:p w:rsidR="009A284F" w:rsidRDefault="009E40EC"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8. </w:t>
            </w:r>
            <w:r w:rsidR="00202C0B">
              <w:rPr>
                <w:rFonts w:ascii="Times New Roman" w:hAnsi="Times New Roman" w:cs="Times New Roman"/>
                <w:sz w:val="18"/>
              </w:rPr>
              <w:t>6.</w:t>
            </w:r>
            <w:r>
              <w:rPr>
                <w:rFonts w:ascii="Times New Roman" w:hAnsi="Times New Roman" w:cs="Times New Roman"/>
                <w:sz w:val="18"/>
              </w:rPr>
              <w:t xml:space="preserve"> </w:t>
            </w:r>
            <w:r w:rsidR="00202C0B">
              <w:rPr>
                <w:rFonts w:ascii="Times New Roman" w:hAnsi="Times New Roman" w:cs="Times New Roman"/>
                <w:sz w:val="18"/>
              </w:rPr>
              <w:t>2021.</w:t>
            </w:r>
          </w:p>
          <w:p w:rsidR="00202C0B" w:rsidRDefault="009E40EC"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23. </w:t>
            </w:r>
            <w:r w:rsidR="00202C0B">
              <w:rPr>
                <w:rFonts w:ascii="Times New Roman" w:hAnsi="Times New Roman" w:cs="Times New Roman"/>
                <w:sz w:val="18"/>
              </w:rPr>
              <w:t>6.</w:t>
            </w:r>
            <w:r>
              <w:rPr>
                <w:rFonts w:ascii="Times New Roman" w:hAnsi="Times New Roman" w:cs="Times New Roman"/>
                <w:sz w:val="18"/>
              </w:rPr>
              <w:t xml:space="preserve"> </w:t>
            </w:r>
            <w:r w:rsidR="00202C0B">
              <w:rPr>
                <w:rFonts w:ascii="Times New Roman" w:hAnsi="Times New Roman" w:cs="Times New Roman"/>
                <w:sz w:val="18"/>
              </w:rPr>
              <w:t>2021.</w:t>
            </w:r>
          </w:p>
        </w:tc>
        <w:tc>
          <w:tcPr>
            <w:tcW w:w="2113" w:type="dxa"/>
            <w:gridSpan w:val="6"/>
            <w:vAlign w:val="center"/>
          </w:tcPr>
          <w:p w:rsidR="009A284F"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16.</w:t>
            </w:r>
            <w:r w:rsidR="009E40EC">
              <w:rPr>
                <w:rFonts w:ascii="Times New Roman" w:hAnsi="Times New Roman" w:cs="Times New Roman"/>
                <w:sz w:val="18"/>
              </w:rPr>
              <w:t xml:space="preserve"> </w:t>
            </w:r>
            <w:r>
              <w:rPr>
                <w:rFonts w:ascii="Times New Roman" w:hAnsi="Times New Roman" w:cs="Times New Roman"/>
                <w:sz w:val="18"/>
              </w:rPr>
              <w:t>9.</w:t>
            </w:r>
            <w:r w:rsidR="009E40EC">
              <w:rPr>
                <w:rFonts w:ascii="Times New Roman" w:hAnsi="Times New Roman" w:cs="Times New Roman"/>
                <w:sz w:val="18"/>
              </w:rPr>
              <w:t xml:space="preserve"> </w:t>
            </w:r>
            <w:r>
              <w:rPr>
                <w:rFonts w:ascii="Times New Roman" w:hAnsi="Times New Roman" w:cs="Times New Roman"/>
                <w:sz w:val="18"/>
              </w:rPr>
              <w:t>2021.</w:t>
            </w:r>
          </w:p>
          <w:p w:rsidR="00202C0B" w:rsidRDefault="00202C0B" w:rsidP="0079745E">
            <w:pPr>
              <w:tabs>
                <w:tab w:val="left" w:pos="1218"/>
              </w:tabs>
              <w:spacing w:before="20" w:after="20"/>
              <w:rPr>
                <w:rFonts w:ascii="Times New Roman" w:hAnsi="Times New Roman" w:cs="Times New Roman"/>
                <w:sz w:val="18"/>
              </w:rPr>
            </w:pPr>
            <w:r>
              <w:rPr>
                <w:rFonts w:ascii="Times New Roman" w:hAnsi="Times New Roman" w:cs="Times New Roman"/>
                <w:sz w:val="18"/>
              </w:rPr>
              <w:t>30.</w:t>
            </w:r>
            <w:r w:rsidR="009E40EC">
              <w:rPr>
                <w:rFonts w:ascii="Times New Roman" w:hAnsi="Times New Roman" w:cs="Times New Roman"/>
                <w:sz w:val="18"/>
              </w:rPr>
              <w:t xml:space="preserve"> </w:t>
            </w:r>
            <w:r>
              <w:rPr>
                <w:rFonts w:ascii="Times New Roman" w:hAnsi="Times New Roman" w:cs="Times New Roman"/>
                <w:sz w:val="18"/>
              </w:rPr>
              <w:t>9.</w:t>
            </w:r>
            <w:r w:rsidR="009E40EC">
              <w:rPr>
                <w:rFonts w:ascii="Times New Roman" w:hAnsi="Times New Roman" w:cs="Times New Roman"/>
                <w:sz w:val="18"/>
              </w:rPr>
              <w:t xml:space="preserve"> </w:t>
            </w:r>
            <w:r>
              <w:rPr>
                <w:rFonts w:ascii="Times New Roman" w:hAnsi="Times New Roman" w:cs="Times New Roman"/>
                <w:sz w:val="18"/>
              </w:rPr>
              <w:t>2021.</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202C0B" w:rsidRDefault="00202C0B" w:rsidP="00202C0B">
            <w:pPr>
              <w:tabs>
                <w:tab w:val="left" w:pos="1218"/>
              </w:tabs>
              <w:spacing w:before="20" w:after="20"/>
              <w:jc w:val="both"/>
              <w:rPr>
                <w:rFonts w:ascii="Times New Roman" w:eastAsia="MS Gothic" w:hAnsi="Times New Roman" w:cs="Times New Roman"/>
                <w:sz w:val="20"/>
                <w:szCs w:val="20"/>
              </w:rPr>
            </w:pPr>
            <w:r w:rsidRPr="00202C0B">
              <w:rPr>
                <w:rFonts w:ascii="Times New Roman" w:hAnsi="Times New Roman" w:cs="Times New Roman"/>
                <w:sz w:val="20"/>
                <w:szCs w:val="20"/>
              </w:rPr>
              <w:t xml:space="preserve">Kolegij uvodi studente/ice u poznavanje temeljnih procesa sazrijevanja političko-društvenih, gospodarskih, vjerskih i kulturoloških struktura Dubrovačke Republike koji će </w:t>
            </w:r>
            <w:r w:rsidRPr="00202C0B">
              <w:rPr>
                <w:rFonts w:ascii="Times New Roman" w:hAnsi="Times New Roman" w:cs="Times New Roman"/>
                <w:sz w:val="20"/>
                <w:szCs w:val="20"/>
              </w:rPr>
              <w:lastRenderedPageBreak/>
              <w:t>joj omogućiti njezin veišestoljetni opstanak u međunarodnoj zajednici. Navedeni će nastavni ciljevi biti kontekstualizirani usporednim primjerima unutar jadranskog i mediteranskog prostora. Izvan nastavnog vidokruga neće ostati reprezentativne teme koje povijesnicu tipične mediteranske republike nerazdvojno vežu uz povijest zemalja kopnenog joj okruženja. Dakle, pristup je karakteriziran osvještavanjem neophodnosti problemskog kritičkog kontekstualiziranja povijesti Dubrovačke Republike u okvirima velikih regija europske povijesti kasnosrednjovjekovalja i ranomodernog doba. Naravno, povijest Dubrovačke Republike biti će kontekstualizirana i u korpus nacionalne povijesti. Naglasiti je da uz u suvremenoj historiografiji naglašeno prisutnih metodoloških pristupa neće biti zanemareni ni plodonosni dosezi "tradicionalne" historiografije.</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1. Uvodno predavanje: upoznavanje s kolegijem - ciljevi, metode, izvori i literatura, studentska prava i obveze. Opis sadržaja nastavnih jedinica i načina njihove obrade.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upoznavanje studenata s ciljevima i zadacima seminarskog dijela nastave. Dodjela seminarskih tema i termina izlaganja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2. Srednjovjekovni Dubrovnik: prostor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3. Političko uređenje, ustojstvo vlasti i izbor službenika u Dubrovačkoj Republici</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4. Crkvene prilike (osnutak Dubrovačke biskupije, aktivni katolički crkveni redovi na prostoru grada, njihova uloga i značaj samostana, prisutnost drugih vjeroispovijesti, međureligijski odnosi i prožimanja)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5. Blagdani: državni i crkveni</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6. Društveni slojevi</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7. Veze Dubrovnika s okolnim zemljama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8. Agrarni odnosi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9. Trgovina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10. Obrti, bratovštine (strukovne i vjerske)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11. Diplomacija i odnosi sa susjedima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 xml:space="preserve">12. Znameniti Dubrovčani </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13. Znanost, školstvo, graditeljstvo, umjetnost i kultura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14. Širenje osmanskog imperija i povijesne mijene dubrovačkog identiteta</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Seminar: izlaganje seminarskog rada. Obrada, komentiranje i rasprava o relevantim materijalima koje su studenti dobili za čitanje</w:t>
            </w:r>
          </w:p>
          <w:p w:rsidR="00202C0B" w:rsidRPr="00202C0B" w:rsidRDefault="00202C0B" w:rsidP="00202C0B">
            <w:pPr>
              <w:tabs>
                <w:tab w:val="left" w:pos="2820"/>
              </w:tabs>
              <w:jc w:val="both"/>
              <w:rPr>
                <w:rFonts w:ascii="Times New Roman" w:hAnsi="Times New Roman" w:cs="Times New Roman"/>
                <w:sz w:val="20"/>
                <w:szCs w:val="20"/>
              </w:rPr>
            </w:pPr>
            <w:r w:rsidRPr="00202C0B">
              <w:rPr>
                <w:rFonts w:ascii="Times New Roman" w:hAnsi="Times New Roman" w:cs="Times New Roman"/>
                <w:sz w:val="20"/>
                <w:szCs w:val="20"/>
              </w:rPr>
              <w:t>15. Ponavljanje i sinteza</w:t>
            </w:r>
          </w:p>
          <w:p w:rsidR="009A284F" w:rsidRPr="00202C0B" w:rsidRDefault="00202C0B" w:rsidP="00202C0B">
            <w:pPr>
              <w:tabs>
                <w:tab w:val="left" w:pos="1218"/>
              </w:tabs>
              <w:spacing w:before="20" w:after="20"/>
              <w:jc w:val="both"/>
              <w:rPr>
                <w:rFonts w:ascii="Times New Roman" w:eastAsia="MS Gothic" w:hAnsi="Times New Roman" w:cs="Times New Roman"/>
                <w:i/>
                <w:sz w:val="20"/>
                <w:szCs w:val="20"/>
              </w:rPr>
            </w:pPr>
            <w:r w:rsidRPr="00202C0B">
              <w:rPr>
                <w:rFonts w:ascii="Times New Roman" w:hAnsi="Times New Roman" w:cs="Times New Roman"/>
                <w:sz w:val="20"/>
                <w:szCs w:val="20"/>
              </w:rPr>
              <w:t>Seminar: zaključna razmatranja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9A284F" w:rsidRPr="009C77B1" w:rsidRDefault="00202C0B" w:rsidP="009C77B1">
            <w:pPr>
              <w:tabs>
                <w:tab w:val="left" w:pos="1218"/>
              </w:tabs>
              <w:spacing w:before="20" w:after="20"/>
              <w:jc w:val="both"/>
              <w:rPr>
                <w:rFonts w:ascii="Times New Roman" w:hAnsi="Times New Roman" w:cs="Times New Roman"/>
                <w:sz w:val="20"/>
                <w:szCs w:val="20"/>
              </w:rPr>
            </w:pPr>
            <w:r w:rsidRPr="009C77B1">
              <w:rPr>
                <w:rFonts w:ascii="Times New Roman" w:hAnsi="Times New Roman" w:cs="Times New Roman"/>
                <w:sz w:val="20"/>
                <w:szCs w:val="20"/>
              </w:rPr>
              <w:t xml:space="preserve">1. Vinko Foretić, </w:t>
            </w:r>
            <w:r w:rsidRPr="009C77B1">
              <w:rPr>
                <w:rFonts w:ascii="Times New Roman" w:hAnsi="Times New Roman" w:cs="Times New Roman"/>
                <w:i/>
                <w:sz w:val="20"/>
                <w:szCs w:val="20"/>
              </w:rPr>
              <w:t>Povijest Dubrovnika do 1808.</w:t>
            </w:r>
            <w:r w:rsidRPr="009C77B1">
              <w:rPr>
                <w:rFonts w:ascii="Times New Roman" w:hAnsi="Times New Roman" w:cs="Times New Roman"/>
                <w:sz w:val="20"/>
                <w:szCs w:val="20"/>
              </w:rPr>
              <w:t>, I dio, Od osnutka do 1526, Zagreb, 1980.</w:t>
            </w:r>
          </w:p>
          <w:p w:rsidR="00202C0B" w:rsidRPr="009C77B1" w:rsidRDefault="00202C0B" w:rsidP="009C77B1">
            <w:pPr>
              <w:tabs>
                <w:tab w:val="left" w:pos="1218"/>
              </w:tabs>
              <w:spacing w:before="20" w:after="20"/>
              <w:jc w:val="both"/>
              <w:rPr>
                <w:rFonts w:ascii="Times New Roman" w:hAnsi="Times New Roman" w:cs="Times New Roman"/>
                <w:sz w:val="20"/>
                <w:szCs w:val="20"/>
              </w:rPr>
            </w:pPr>
            <w:r w:rsidRPr="009C77B1">
              <w:rPr>
                <w:rFonts w:ascii="Times New Roman" w:hAnsi="Times New Roman" w:cs="Times New Roman"/>
                <w:sz w:val="20"/>
                <w:szCs w:val="20"/>
              </w:rPr>
              <w:t xml:space="preserve">2. Zdenka Janeković-Römer, </w:t>
            </w:r>
            <w:r w:rsidRPr="009C77B1">
              <w:rPr>
                <w:rFonts w:ascii="Times New Roman" w:hAnsi="Times New Roman" w:cs="Times New Roman"/>
                <w:i/>
                <w:sz w:val="20"/>
                <w:szCs w:val="20"/>
              </w:rPr>
              <w:t>Okvir slobode: dubrovačka vlastela između srednjovjekovlja i humanizma</w:t>
            </w:r>
            <w:r w:rsidRPr="009C77B1">
              <w:rPr>
                <w:rFonts w:ascii="Times New Roman" w:hAnsi="Times New Roman" w:cs="Times New Roman"/>
                <w:sz w:val="20"/>
                <w:szCs w:val="20"/>
              </w:rPr>
              <w:t>, Zagreb-Dubrovnik, 1999.</w:t>
            </w:r>
          </w:p>
          <w:p w:rsidR="00202C0B" w:rsidRPr="009C77B1" w:rsidRDefault="009C77B1" w:rsidP="009C77B1">
            <w:pPr>
              <w:tabs>
                <w:tab w:val="left" w:pos="1218"/>
              </w:tabs>
              <w:spacing w:before="20" w:after="20"/>
              <w:jc w:val="both"/>
              <w:rPr>
                <w:rFonts w:ascii="Times New Roman" w:hAnsi="Times New Roman" w:cs="Times New Roman"/>
                <w:sz w:val="20"/>
                <w:szCs w:val="20"/>
              </w:rPr>
            </w:pPr>
            <w:r w:rsidRPr="009C77B1">
              <w:rPr>
                <w:rFonts w:ascii="Times New Roman" w:hAnsi="Times New Roman" w:cs="Times New Roman"/>
                <w:sz w:val="20"/>
                <w:szCs w:val="20"/>
              </w:rPr>
              <w:t xml:space="preserve">3. Bernard Stulli, </w:t>
            </w:r>
            <w:r w:rsidRPr="009C77B1">
              <w:rPr>
                <w:rFonts w:ascii="Times New Roman" w:hAnsi="Times New Roman" w:cs="Times New Roman"/>
                <w:i/>
                <w:sz w:val="20"/>
                <w:szCs w:val="20"/>
              </w:rPr>
              <w:t>Povijest Dubrovačke Republike</w:t>
            </w:r>
            <w:r w:rsidRPr="009C77B1">
              <w:rPr>
                <w:rFonts w:ascii="Times New Roman" w:hAnsi="Times New Roman" w:cs="Times New Roman"/>
                <w:sz w:val="20"/>
                <w:szCs w:val="20"/>
              </w:rPr>
              <w:t>, Dubrovnik-Zagreb,1989.</w:t>
            </w:r>
          </w:p>
          <w:p w:rsidR="009C77B1" w:rsidRPr="009947BA" w:rsidRDefault="009C77B1" w:rsidP="009C77B1">
            <w:pPr>
              <w:tabs>
                <w:tab w:val="left" w:pos="1218"/>
              </w:tabs>
              <w:spacing w:before="20" w:after="20"/>
              <w:jc w:val="both"/>
              <w:rPr>
                <w:rFonts w:ascii="Times New Roman" w:eastAsia="MS Gothic" w:hAnsi="Times New Roman" w:cs="Times New Roman"/>
                <w:sz w:val="18"/>
              </w:rPr>
            </w:pPr>
            <w:r w:rsidRPr="009C77B1">
              <w:rPr>
                <w:rFonts w:ascii="Times New Roman" w:hAnsi="Times New Roman" w:cs="Times New Roman"/>
                <w:sz w:val="20"/>
                <w:szCs w:val="20"/>
              </w:rPr>
              <w:t xml:space="preserve">4. Nenad Vekarić, </w:t>
            </w:r>
            <w:r w:rsidRPr="009C77B1">
              <w:rPr>
                <w:rFonts w:ascii="Times New Roman" w:hAnsi="Times New Roman" w:cs="Times New Roman"/>
                <w:i/>
                <w:sz w:val="20"/>
                <w:szCs w:val="20"/>
              </w:rPr>
              <w:t>Nevidljive pukotine: Dubrovački vlasteoski klanovi</w:t>
            </w:r>
            <w:r w:rsidRPr="009C77B1">
              <w:rPr>
                <w:rFonts w:ascii="Times New Roman" w:hAnsi="Times New Roman" w:cs="Times New Roman"/>
                <w:sz w:val="20"/>
                <w:szCs w:val="20"/>
              </w:rPr>
              <w:t>, Zagreb-Dubrovnik, 2009.</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9C77B1" w:rsidRPr="009C77B1" w:rsidRDefault="009C77B1" w:rsidP="009C77B1">
            <w:pPr>
              <w:tabs>
                <w:tab w:val="left" w:pos="2820"/>
              </w:tabs>
              <w:jc w:val="both"/>
              <w:rPr>
                <w:rFonts w:ascii="Times New Roman" w:hAnsi="Times New Roman" w:cs="Times New Roman"/>
                <w:sz w:val="20"/>
                <w:szCs w:val="20"/>
              </w:rPr>
            </w:pPr>
            <w:r w:rsidRPr="00FE0D2A">
              <w:rPr>
                <w:rFonts w:ascii="Arial Narrow" w:hAnsi="Arial Narrow"/>
              </w:rPr>
              <w:t>1</w:t>
            </w:r>
            <w:r w:rsidRPr="009C77B1">
              <w:rPr>
                <w:rFonts w:ascii="Times New Roman" w:hAnsi="Times New Roman" w:cs="Times New Roman"/>
                <w:sz w:val="20"/>
                <w:szCs w:val="20"/>
              </w:rPr>
              <w:t xml:space="preserve">. Bariša Krekić, ur., </w:t>
            </w:r>
            <w:r w:rsidRPr="009C77B1">
              <w:rPr>
                <w:rFonts w:ascii="Times New Roman" w:hAnsi="Times New Roman" w:cs="Times New Roman"/>
                <w:i/>
                <w:sz w:val="20"/>
                <w:szCs w:val="20"/>
              </w:rPr>
              <w:t>The Urban Society of Eastern Europe in Premodern Times</w:t>
            </w:r>
            <w:r w:rsidRPr="009C77B1">
              <w:rPr>
                <w:rFonts w:ascii="Times New Roman" w:hAnsi="Times New Roman" w:cs="Times New Roman"/>
                <w:sz w:val="20"/>
                <w:szCs w:val="20"/>
              </w:rPr>
              <w:t xml:space="preserve">, London, 1987. </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2. Zdenka Janeković Romer, </w:t>
            </w:r>
            <w:r w:rsidRPr="009C77B1">
              <w:rPr>
                <w:rFonts w:ascii="Times New Roman" w:hAnsi="Times New Roman" w:cs="Times New Roman"/>
                <w:i/>
                <w:sz w:val="20"/>
                <w:szCs w:val="20"/>
              </w:rPr>
              <w:t>Višegradski ugovor temelj Dubrovačke Republike</w:t>
            </w:r>
            <w:r w:rsidRPr="009C77B1">
              <w:rPr>
                <w:rFonts w:ascii="Times New Roman" w:hAnsi="Times New Roman" w:cs="Times New Roman"/>
                <w:sz w:val="20"/>
                <w:szCs w:val="20"/>
              </w:rPr>
              <w:t xml:space="preserve">, Zagreb, 2003. </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3. Zdenko Zlatar, </w:t>
            </w:r>
            <w:r w:rsidRPr="009C77B1">
              <w:rPr>
                <w:rFonts w:ascii="Times New Roman" w:hAnsi="Times New Roman" w:cs="Times New Roman"/>
                <w:i/>
                <w:sz w:val="20"/>
                <w:szCs w:val="20"/>
              </w:rPr>
              <w:t>Our Kingdom come - The Counter-Reformation, the Republic of Dubrovnik, and the Liberation of the Balkans Slavs</w:t>
            </w:r>
            <w:r w:rsidRPr="009C77B1">
              <w:rPr>
                <w:rFonts w:ascii="Times New Roman" w:hAnsi="Times New Roman" w:cs="Times New Roman"/>
                <w:sz w:val="20"/>
                <w:szCs w:val="20"/>
              </w:rPr>
              <w:t xml:space="preserve">, New York, 1992. </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4. Vesna Miović Perić, </w:t>
            </w:r>
            <w:r w:rsidRPr="009C77B1">
              <w:rPr>
                <w:rFonts w:ascii="Times New Roman" w:hAnsi="Times New Roman" w:cs="Times New Roman"/>
                <w:i/>
                <w:sz w:val="20"/>
                <w:szCs w:val="20"/>
              </w:rPr>
              <w:t>Židovski geto u Dubrovačkoj Republici (1546-1808)</w:t>
            </w:r>
            <w:r w:rsidRPr="009C77B1">
              <w:rPr>
                <w:rFonts w:ascii="Times New Roman" w:hAnsi="Times New Roman" w:cs="Times New Roman"/>
                <w:sz w:val="20"/>
                <w:szCs w:val="20"/>
              </w:rPr>
              <w:t xml:space="preserve">, Zagreb-Dubrovnik, 2005. </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5. Vesna Miović Perić, </w:t>
            </w:r>
            <w:r w:rsidRPr="009C77B1">
              <w:rPr>
                <w:rFonts w:ascii="Times New Roman" w:hAnsi="Times New Roman" w:cs="Times New Roman"/>
                <w:i/>
                <w:sz w:val="20"/>
                <w:szCs w:val="20"/>
              </w:rPr>
              <w:t>Na razmeđu</w:t>
            </w:r>
            <w:r w:rsidRPr="009C77B1">
              <w:rPr>
                <w:rFonts w:ascii="Times New Roman" w:hAnsi="Times New Roman" w:cs="Times New Roman"/>
                <w:sz w:val="20"/>
                <w:szCs w:val="20"/>
              </w:rPr>
              <w:t xml:space="preserve">, Zagreb-Dubrovnik, 1997. </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6. Vesna Miović, </w:t>
            </w:r>
            <w:r w:rsidRPr="009C77B1">
              <w:rPr>
                <w:rFonts w:ascii="Times New Roman" w:hAnsi="Times New Roman" w:cs="Times New Roman"/>
                <w:i/>
                <w:sz w:val="20"/>
                <w:szCs w:val="20"/>
              </w:rPr>
              <w:t>Dubrovačka diplomacija u Istambulu</w:t>
            </w:r>
            <w:r w:rsidRPr="009C77B1">
              <w:rPr>
                <w:rFonts w:ascii="Times New Roman" w:hAnsi="Times New Roman" w:cs="Times New Roman"/>
                <w:sz w:val="20"/>
                <w:szCs w:val="20"/>
              </w:rPr>
              <w:t>, Zagreb-Dubrovnik, 2003.</w:t>
            </w:r>
          </w:p>
          <w:p w:rsidR="009C77B1" w:rsidRPr="009C77B1" w:rsidRDefault="009C77B1" w:rsidP="009C77B1">
            <w:pPr>
              <w:tabs>
                <w:tab w:val="left" w:pos="2820"/>
              </w:tabs>
              <w:jc w:val="both"/>
              <w:rPr>
                <w:rFonts w:ascii="Times New Roman" w:hAnsi="Times New Roman" w:cs="Times New Roman"/>
                <w:sz w:val="20"/>
                <w:szCs w:val="20"/>
              </w:rPr>
            </w:pPr>
            <w:r w:rsidRPr="009C77B1">
              <w:rPr>
                <w:rFonts w:ascii="Times New Roman" w:hAnsi="Times New Roman" w:cs="Times New Roman"/>
                <w:sz w:val="20"/>
                <w:szCs w:val="20"/>
              </w:rPr>
              <w:t xml:space="preserve">7. Ivica Prlender, </w:t>
            </w:r>
            <w:r w:rsidRPr="009C77B1">
              <w:rPr>
                <w:rFonts w:ascii="Times New Roman" w:hAnsi="Times New Roman" w:cs="Times New Roman"/>
                <w:i/>
                <w:sz w:val="20"/>
                <w:szCs w:val="20"/>
              </w:rPr>
              <w:t>Srednjovjekovni Dubrovnik</w:t>
            </w:r>
            <w:r w:rsidRPr="009C77B1">
              <w:rPr>
                <w:rFonts w:ascii="Times New Roman" w:hAnsi="Times New Roman" w:cs="Times New Roman"/>
                <w:sz w:val="20"/>
                <w:szCs w:val="20"/>
              </w:rPr>
              <w:t>, Zagreb, 2013.</w:t>
            </w:r>
          </w:p>
          <w:p w:rsidR="009C77B1" w:rsidRPr="009C77B1" w:rsidRDefault="009C77B1" w:rsidP="009C77B1">
            <w:pPr>
              <w:pStyle w:val="FootnoteText"/>
              <w:jc w:val="both"/>
              <w:rPr>
                <w:rFonts w:ascii="Times New Roman" w:hAnsi="Times New Roman" w:cs="Times New Roman"/>
                <w:bCs/>
              </w:rPr>
            </w:pPr>
            <w:r w:rsidRPr="009C77B1">
              <w:rPr>
                <w:rFonts w:ascii="Times New Roman" w:hAnsi="Times New Roman" w:cs="Times New Roman"/>
              </w:rPr>
              <w:t xml:space="preserve">8. </w:t>
            </w:r>
            <w:r w:rsidRPr="009C77B1">
              <w:rPr>
                <w:rFonts w:ascii="Times New Roman" w:hAnsi="Times New Roman" w:cs="Times New Roman"/>
                <w:bCs/>
              </w:rPr>
              <w:t xml:space="preserve">Robin Harris, </w:t>
            </w:r>
            <w:r w:rsidRPr="009C77B1">
              <w:rPr>
                <w:rFonts w:ascii="Times New Roman" w:hAnsi="Times New Roman" w:cs="Times New Roman"/>
                <w:bCs/>
                <w:i/>
              </w:rPr>
              <w:t>Povijest Dubrovnika</w:t>
            </w:r>
            <w:r w:rsidRPr="009C77B1">
              <w:rPr>
                <w:rFonts w:ascii="Times New Roman" w:hAnsi="Times New Roman" w:cs="Times New Roman"/>
                <w:bCs/>
              </w:rPr>
              <w:t xml:space="preserve">, Zagreb, 2006. </w:t>
            </w:r>
          </w:p>
          <w:p w:rsidR="009C77B1" w:rsidRPr="009C77B1" w:rsidRDefault="009C77B1" w:rsidP="009C77B1">
            <w:pPr>
              <w:pStyle w:val="NoSpacing"/>
              <w:jc w:val="both"/>
              <w:rPr>
                <w:rFonts w:ascii="Times New Roman" w:hAnsi="Times New Roman"/>
                <w:sz w:val="20"/>
                <w:szCs w:val="20"/>
              </w:rPr>
            </w:pPr>
            <w:r w:rsidRPr="009C77B1">
              <w:rPr>
                <w:rFonts w:ascii="Times New Roman" w:hAnsi="Times New Roman"/>
                <w:bCs/>
                <w:sz w:val="20"/>
                <w:szCs w:val="20"/>
              </w:rPr>
              <w:t xml:space="preserve">9. Bariša </w:t>
            </w:r>
            <w:r w:rsidRPr="009C77B1">
              <w:rPr>
                <w:rFonts w:ascii="Times New Roman" w:hAnsi="Times New Roman"/>
                <w:sz w:val="20"/>
                <w:szCs w:val="20"/>
              </w:rPr>
              <w:t xml:space="preserve">Krekić, </w:t>
            </w:r>
            <w:r w:rsidRPr="009C77B1">
              <w:rPr>
                <w:rFonts w:ascii="Times New Roman" w:hAnsi="Times New Roman"/>
                <w:i/>
                <w:sz w:val="20"/>
                <w:szCs w:val="20"/>
              </w:rPr>
              <w:t>Dubrovnik in the 14th and 15th centuries: A City between East and West</w:t>
            </w:r>
            <w:r w:rsidRPr="009C77B1">
              <w:rPr>
                <w:rFonts w:ascii="Times New Roman" w:hAnsi="Times New Roman"/>
                <w:sz w:val="20"/>
                <w:szCs w:val="20"/>
              </w:rPr>
              <w:t>, Norman, 1972.</w:t>
            </w:r>
          </w:p>
          <w:p w:rsidR="009C77B1" w:rsidRPr="009C77B1" w:rsidRDefault="009C77B1" w:rsidP="009C77B1">
            <w:pPr>
              <w:pStyle w:val="FootnoteText"/>
              <w:jc w:val="both"/>
              <w:rPr>
                <w:rFonts w:ascii="Times New Roman" w:hAnsi="Times New Roman" w:cs="Times New Roman"/>
              </w:rPr>
            </w:pPr>
            <w:r w:rsidRPr="009C77B1">
              <w:rPr>
                <w:rFonts w:ascii="Times New Roman" w:hAnsi="Times New Roman" w:cs="Times New Roman"/>
                <w:bCs/>
              </w:rPr>
              <w:t xml:space="preserve">10. </w:t>
            </w:r>
            <w:r w:rsidRPr="009C77B1">
              <w:rPr>
                <w:rFonts w:ascii="Times New Roman" w:hAnsi="Times New Roman" w:cs="Times New Roman"/>
              </w:rPr>
              <w:t xml:space="preserve">Lovro Kunčević, </w:t>
            </w:r>
            <w:r w:rsidRPr="009C77B1">
              <w:rPr>
                <w:rFonts w:ascii="Times New Roman" w:hAnsi="Times New Roman" w:cs="Times New Roman"/>
                <w:i/>
              </w:rPr>
              <w:t>Mit o Dubrovniku: diskursi o identitetu renesansnog Grada</w:t>
            </w:r>
            <w:r w:rsidRPr="009C77B1">
              <w:rPr>
                <w:rFonts w:ascii="Times New Roman" w:hAnsi="Times New Roman" w:cs="Times New Roman"/>
              </w:rPr>
              <w:t>, Zagreb-Dubrovnik, 2015.</w:t>
            </w:r>
          </w:p>
          <w:p w:rsidR="009A284F" w:rsidRPr="009C77B1" w:rsidRDefault="009C77B1" w:rsidP="009C77B1">
            <w:pPr>
              <w:tabs>
                <w:tab w:val="left" w:pos="1218"/>
              </w:tabs>
              <w:spacing w:before="20" w:after="20"/>
              <w:jc w:val="both"/>
              <w:rPr>
                <w:rFonts w:ascii="Times New Roman" w:hAnsi="Times New Roman" w:cs="Times New Roman"/>
                <w:sz w:val="20"/>
                <w:szCs w:val="20"/>
              </w:rPr>
            </w:pPr>
            <w:r w:rsidRPr="009C77B1">
              <w:rPr>
                <w:rFonts w:ascii="Times New Roman" w:hAnsi="Times New Roman" w:cs="Times New Roman"/>
                <w:sz w:val="20"/>
                <w:szCs w:val="20"/>
              </w:rPr>
              <w:t xml:space="preserve">11. Jorjo Tadić, </w:t>
            </w:r>
            <w:r w:rsidRPr="009C77B1">
              <w:rPr>
                <w:rFonts w:ascii="Times New Roman" w:hAnsi="Times New Roman" w:cs="Times New Roman"/>
                <w:i/>
                <w:sz w:val="20"/>
                <w:szCs w:val="20"/>
              </w:rPr>
              <w:t>Promet putnika u starom Dubrovniku</w:t>
            </w:r>
            <w:r w:rsidRPr="009C77B1">
              <w:rPr>
                <w:rFonts w:ascii="Times New Roman" w:hAnsi="Times New Roman" w:cs="Times New Roman"/>
                <w:sz w:val="20"/>
                <w:szCs w:val="20"/>
              </w:rPr>
              <w:t>, Dubrovnik, 1939.</w:t>
            </w:r>
          </w:p>
          <w:p w:rsidR="009C77B1" w:rsidRPr="009947BA" w:rsidRDefault="009C77B1" w:rsidP="009C77B1">
            <w:pPr>
              <w:tabs>
                <w:tab w:val="left" w:pos="1218"/>
              </w:tabs>
              <w:spacing w:before="20" w:after="20"/>
              <w:jc w:val="both"/>
              <w:rPr>
                <w:rFonts w:ascii="Times New Roman" w:eastAsia="MS Gothic" w:hAnsi="Times New Roman" w:cs="Times New Roman"/>
                <w:sz w:val="18"/>
              </w:rPr>
            </w:pPr>
            <w:r w:rsidRPr="009C77B1">
              <w:rPr>
                <w:rFonts w:ascii="Times New Roman" w:hAnsi="Times New Roman" w:cs="Times New Roman"/>
                <w:sz w:val="20"/>
                <w:szCs w:val="20"/>
              </w:rPr>
              <w:t xml:space="preserve">12. Nenad Vekarić, </w:t>
            </w:r>
            <w:r w:rsidRPr="009C77B1">
              <w:rPr>
                <w:rFonts w:ascii="Times New Roman" w:hAnsi="Times New Roman" w:cs="Times New Roman"/>
                <w:i/>
                <w:sz w:val="20"/>
                <w:szCs w:val="20"/>
              </w:rPr>
              <w:t>Nevidljive pukotine: Dubrovački vlasteoski klanovi</w:t>
            </w:r>
            <w:r w:rsidRPr="009C77B1">
              <w:rPr>
                <w:rFonts w:ascii="Times New Roman" w:hAnsi="Times New Roman" w:cs="Times New Roman"/>
                <w:sz w:val="20"/>
                <w:szCs w:val="20"/>
              </w:rPr>
              <w:t>, Zagreb-Dubrovnik, 2009.</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9A284F" w:rsidRPr="009947BA" w:rsidRDefault="009C77B1"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67006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9C77B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67006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67006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9C77B1" w:rsidRPr="00825EC6" w:rsidRDefault="009C77B1" w:rsidP="009C77B1">
            <w:pPr>
              <w:jc w:val="both"/>
              <w:rPr>
                <w:rFonts w:ascii="Times New Roman" w:hAnsi="Times New Roman" w:cs="Times New Roman"/>
                <w:sz w:val="20"/>
                <w:szCs w:val="20"/>
              </w:rPr>
            </w:pPr>
            <w:r w:rsidRPr="00825EC6">
              <w:rPr>
                <w:rFonts w:ascii="Times New Roman" w:hAnsi="Times New Roman" w:cs="Times New Roman"/>
                <w:sz w:val="20"/>
                <w:szCs w:val="20"/>
              </w:rPr>
              <w:t xml:space="preserve">Ukupna se ocjena zasniva na rezultatima uspješno napisanog i izloženog seminarskog rada, istraživanju zadane teme, pripremi za predavanje i rezultatima usmenog dijela ispita. </w:t>
            </w:r>
          </w:p>
          <w:p w:rsidR="009C77B1" w:rsidRPr="00825EC6" w:rsidRDefault="009C77B1" w:rsidP="009C77B1">
            <w:pPr>
              <w:jc w:val="both"/>
              <w:rPr>
                <w:rFonts w:ascii="Times New Roman" w:hAnsi="Times New Roman" w:cs="Times New Roman"/>
                <w:bCs/>
                <w:sz w:val="20"/>
                <w:szCs w:val="20"/>
              </w:rPr>
            </w:pPr>
            <w:r w:rsidRPr="00825EC6">
              <w:rPr>
                <w:rFonts w:ascii="Times New Roman" w:hAnsi="Times New Roman" w:cs="Times New Roman"/>
                <w:bCs/>
                <w:sz w:val="20"/>
                <w:szCs w:val="20"/>
              </w:rPr>
              <w:t xml:space="preserve">U slučaju neispunjavanja neke od obaveza studentu/ici neće biti dozvoljeno pristupanje završnom ispitu i ostvarivanje zaključne ocjene. </w:t>
            </w:r>
          </w:p>
          <w:p w:rsidR="009A284F" w:rsidRPr="00B7307A" w:rsidRDefault="009C77B1" w:rsidP="009C77B1">
            <w:pPr>
              <w:tabs>
                <w:tab w:val="left" w:pos="1218"/>
              </w:tabs>
              <w:spacing w:before="20" w:after="20"/>
              <w:jc w:val="both"/>
              <w:rPr>
                <w:rFonts w:ascii="Times New Roman" w:eastAsia="MS Gothic" w:hAnsi="Times New Roman" w:cs="Times New Roman"/>
                <w:sz w:val="18"/>
              </w:rPr>
            </w:pPr>
            <w:r w:rsidRPr="00825EC6">
              <w:rPr>
                <w:rFonts w:ascii="Times New Roman" w:hAnsi="Times New Roman" w:cs="Times New Roman"/>
                <w:sz w:val="20"/>
                <w:szCs w:val="20"/>
              </w:rPr>
              <w:t>Ocjena seminarskog rada obuhvaća njegovu vrsnost u pisanom obliku (izrađenog prema metodološko-znanstvenim načelima struke) te uspješnost u usmenoj elaboraciji temeljnih problema, njihovoj argumentaciji i vođenju diskusije po izlaganju. Njegova ukupna valorizacija zamjenjuje ocjenu iz pismenog i usmenog dijela ispita.</w:t>
            </w:r>
          </w:p>
        </w:tc>
      </w:tr>
      <w:tr w:rsidR="009A284F" w:rsidRPr="009947BA" w:rsidTr="009A284F">
        <w:tc>
          <w:tcPr>
            <w:tcW w:w="1801" w:type="dxa"/>
            <w:vMerge w:val="restart"/>
            <w:shd w:val="clear" w:color="auto" w:fill="F2F2F2" w:themeFill="background1" w:themeFillShade="F2"/>
          </w:tcPr>
          <w:p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9A284F" w:rsidRPr="00B7307A" w:rsidRDefault="009C77B1"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0-59</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C77B1"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60-69</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C77B1"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70-79</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C77B1"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80-89</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C77B1"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9A284F"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rsidR="009A284F"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rsidR="009A284F"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1"/>
                  <w14:checkedState w14:val="2612" w14:font="MS Gothic"/>
                  <w14:uncheckedState w14:val="2610" w14:font="MS Gothic"/>
                </w14:checkbox>
              </w:sdtPr>
              <w:sdtEndPr/>
              <w:sdtContent>
                <w:r w:rsidR="009C77B1">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rsidR="009A284F"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rsidR="009A284F" w:rsidRPr="009947BA" w:rsidRDefault="0067006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Dužnost je studenata/studentica čuvati ugled i dostojanstvo svih </w:t>
            </w:r>
            <w:r w:rsidRPr="00684BBC">
              <w:rPr>
                <w:rFonts w:ascii="Times New Roman" w:eastAsia="MS Gothic" w:hAnsi="Times New Roman" w:cs="Times New Roman"/>
                <w:sz w:val="18"/>
              </w:rPr>
              <w:lastRenderedPageBreak/>
              <w:t>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9947BA" w:rsidRDefault="009A284F"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6D" w:rsidRDefault="0067006D" w:rsidP="009947BA">
      <w:pPr>
        <w:spacing w:before="0" w:after="0"/>
      </w:pPr>
      <w:r>
        <w:separator/>
      </w:r>
    </w:p>
  </w:endnote>
  <w:endnote w:type="continuationSeparator" w:id="0">
    <w:p w:rsidR="0067006D" w:rsidRDefault="0067006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6D" w:rsidRDefault="0067006D" w:rsidP="009947BA">
      <w:pPr>
        <w:spacing w:before="0" w:after="0"/>
      </w:pPr>
      <w:r>
        <w:separator/>
      </w:r>
    </w:p>
  </w:footnote>
  <w:footnote w:type="continuationSeparator" w:id="0">
    <w:p w:rsidR="0067006D" w:rsidRDefault="0067006D"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237F0"/>
    <w:rsid w:val="000A790E"/>
    <w:rsid w:val="000C0578"/>
    <w:rsid w:val="0010332B"/>
    <w:rsid w:val="001443A2"/>
    <w:rsid w:val="00150B32"/>
    <w:rsid w:val="00197510"/>
    <w:rsid w:val="00202C0B"/>
    <w:rsid w:val="0022722C"/>
    <w:rsid w:val="0028545A"/>
    <w:rsid w:val="002E1CE6"/>
    <w:rsid w:val="002F2D22"/>
    <w:rsid w:val="00326091"/>
    <w:rsid w:val="00357643"/>
    <w:rsid w:val="00371634"/>
    <w:rsid w:val="00382071"/>
    <w:rsid w:val="00386E9C"/>
    <w:rsid w:val="00393964"/>
    <w:rsid w:val="003A3E41"/>
    <w:rsid w:val="003A3FA8"/>
    <w:rsid w:val="003F11B6"/>
    <w:rsid w:val="003F17B8"/>
    <w:rsid w:val="00453362"/>
    <w:rsid w:val="00461219"/>
    <w:rsid w:val="00470F6D"/>
    <w:rsid w:val="00483BC3"/>
    <w:rsid w:val="004923F4"/>
    <w:rsid w:val="004B553E"/>
    <w:rsid w:val="005353ED"/>
    <w:rsid w:val="005514C3"/>
    <w:rsid w:val="005D3518"/>
    <w:rsid w:val="005E1668"/>
    <w:rsid w:val="005F6E0B"/>
    <w:rsid w:val="0062328F"/>
    <w:rsid w:val="0067006D"/>
    <w:rsid w:val="00684BBC"/>
    <w:rsid w:val="006B4920"/>
    <w:rsid w:val="00700D7A"/>
    <w:rsid w:val="007361E7"/>
    <w:rsid w:val="007368EB"/>
    <w:rsid w:val="0078125F"/>
    <w:rsid w:val="00785CAA"/>
    <w:rsid w:val="00794496"/>
    <w:rsid w:val="007967CC"/>
    <w:rsid w:val="0079745E"/>
    <w:rsid w:val="00797B40"/>
    <w:rsid w:val="007C43A4"/>
    <w:rsid w:val="007D4D2D"/>
    <w:rsid w:val="00865776"/>
    <w:rsid w:val="00874D5D"/>
    <w:rsid w:val="00891C60"/>
    <w:rsid w:val="008942F0"/>
    <w:rsid w:val="008A3541"/>
    <w:rsid w:val="008D45DB"/>
    <w:rsid w:val="0090214F"/>
    <w:rsid w:val="009163E6"/>
    <w:rsid w:val="009760E8"/>
    <w:rsid w:val="009947BA"/>
    <w:rsid w:val="00997F41"/>
    <w:rsid w:val="009A284F"/>
    <w:rsid w:val="009C56B1"/>
    <w:rsid w:val="009C77B1"/>
    <w:rsid w:val="009D5226"/>
    <w:rsid w:val="009E2FD4"/>
    <w:rsid w:val="009E40EC"/>
    <w:rsid w:val="00A9132B"/>
    <w:rsid w:val="00AA1A5A"/>
    <w:rsid w:val="00AD23FB"/>
    <w:rsid w:val="00B4202A"/>
    <w:rsid w:val="00B612F8"/>
    <w:rsid w:val="00B71A57"/>
    <w:rsid w:val="00B7307A"/>
    <w:rsid w:val="00C02454"/>
    <w:rsid w:val="00C3477B"/>
    <w:rsid w:val="00C85956"/>
    <w:rsid w:val="00C9733D"/>
    <w:rsid w:val="00CA3783"/>
    <w:rsid w:val="00CB23F4"/>
    <w:rsid w:val="00CF5EFB"/>
    <w:rsid w:val="00D136E4"/>
    <w:rsid w:val="00D5334D"/>
    <w:rsid w:val="00D5523D"/>
    <w:rsid w:val="00D944DF"/>
    <w:rsid w:val="00DD110C"/>
    <w:rsid w:val="00DE6D53"/>
    <w:rsid w:val="00E06E39"/>
    <w:rsid w:val="00E07D73"/>
    <w:rsid w:val="00E17D18"/>
    <w:rsid w:val="00E30E67"/>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202C0B"/>
    <w:pPr>
      <w:autoSpaceDE w:val="0"/>
      <w:autoSpaceDN w:val="0"/>
      <w:adjustRightInd w:val="0"/>
      <w:spacing w:before="0" w:after="0"/>
    </w:pPr>
    <w:rPr>
      <w:rFonts w:ascii="Times New Roman" w:eastAsia="Calibri" w:hAnsi="Times New Roman" w:cs="Times New Roman"/>
      <w:color w:val="000000"/>
      <w:sz w:val="24"/>
      <w:szCs w:val="24"/>
      <w:lang w:val="en-GB"/>
    </w:rPr>
  </w:style>
  <w:style w:type="paragraph" w:styleId="NoSpacing">
    <w:name w:val="No Spacing"/>
    <w:link w:val="NoSpacingChar"/>
    <w:qFormat/>
    <w:rsid w:val="009C77B1"/>
    <w:pPr>
      <w:spacing w:before="0" w:after="0"/>
    </w:pPr>
    <w:rPr>
      <w:rFonts w:ascii="Calibri" w:eastAsia="Calibri" w:hAnsi="Calibri" w:cs="Times New Roman"/>
    </w:rPr>
  </w:style>
  <w:style w:type="character" w:customStyle="1" w:styleId="NoSpacingChar">
    <w:name w:val="No Spacing Char"/>
    <w:link w:val="NoSpacing"/>
    <w:rsid w:val="009C77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202C0B"/>
    <w:pPr>
      <w:autoSpaceDE w:val="0"/>
      <w:autoSpaceDN w:val="0"/>
      <w:adjustRightInd w:val="0"/>
      <w:spacing w:before="0" w:after="0"/>
    </w:pPr>
    <w:rPr>
      <w:rFonts w:ascii="Times New Roman" w:eastAsia="Calibri" w:hAnsi="Times New Roman" w:cs="Times New Roman"/>
      <w:color w:val="000000"/>
      <w:sz w:val="24"/>
      <w:szCs w:val="24"/>
      <w:lang w:val="en-GB"/>
    </w:rPr>
  </w:style>
  <w:style w:type="paragraph" w:styleId="NoSpacing">
    <w:name w:val="No Spacing"/>
    <w:link w:val="NoSpacingChar"/>
    <w:qFormat/>
    <w:rsid w:val="009C77B1"/>
    <w:pPr>
      <w:spacing w:before="0" w:after="0"/>
    </w:pPr>
    <w:rPr>
      <w:rFonts w:ascii="Calibri" w:eastAsia="Calibri" w:hAnsi="Calibri" w:cs="Times New Roman"/>
    </w:rPr>
  </w:style>
  <w:style w:type="character" w:customStyle="1" w:styleId="NoSpacingChar">
    <w:name w:val="No Spacing Char"/>
    <w:link w:val="NoSpacing"/>
    <w:rsid w:val="009C77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D16E-C0AF-47A9-B76F-11209011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Valentina</cp:lastModifiedBy>
  <cp:revision>3</cp:revision>
  <dcterms:created xsi:type="dcterms:W3CDTF">2020-12-22T11:43:00Z</dcterms:created>
  <dcterms:modified xsi:type="dcterms:W3CDTF">2020-12-22T12:12:00Z</dcterms:modified>
</cp:coreProperties>
</file>